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7200" w:leader="none"/>
        </w:tabs>
        <w:rPr>
          <w:sz w:val="48"/>
        </w:rPr>
      </w:pPr>
      <w:r>
        <w:rPr>
          <w:sz w:val="48"/>
        </w:rPr>
        <w:drawing>
          <wp:inline distT="0" distB="0" distL="0" distR="0">
            <wp:extent cx="995680" cy="100584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1005840"/>
                    </a:xfrm>
                    <a:prstGeom prst="rect">
                      <a:avLst/>
                    </a:prstGeom>
                    <a:noFill/>
                  </pic:spPr>
                </pic:pic>
              </a:graphicData>
            </a:graphic>
          </wp:inline>
        </w:drawing>
      </w:r>
    </w:p>
    <w:p>
      <w:pPr>
        <w:pStyle w:val="Normal"/>
        <w:tabs>
          <w:tab w:val="clear" w:pos="720"/>
          <w:tab w:val="left" w:pos="7200" w:leader="none"/>
        </w:tabs>
        <w:jc w:val="end"/>
        <w:rPr>
          <w:sz w:val="18"/>
        </w:rPr>
      </w:pPr>
      <w:r>
        <w:rPr>
          <w:sz w:val="18"/>
        </w:rPr>
      </w:r>
    </w:p>
    <w:p>
      <w:pPr>
        <w:pStyle w:val="Normal"/>
        <w:tabs>
          <w:tab w:val="clear" w:pos="720"/>
          <w:tab w:val="left" w:pos="7200" w:leader="none"/>
        </w:tabs>
        <w:jc w:val="end"/>
        <w:rPr>
          <w:b/>
        </w:rPr>
      </w:pPr>
      <w:r>
        <w:rPr>
          <w:b/>
        </w:rPr>
        <w:t>PRIVILEGED ANDCONFIDENTIAL</w:t>
      </w:r>
    </w:p>
    <w:p>
      <w:pPr>
        <w:pStyle w:val="Normal"/>
        <w:tabs>
          <w:tab w:val="clear" w:pos="720"/>
          <w:tab w:val="left" w:pos="5490" w:leader="none"/>
        </w:tabs>
        <w:jc w:val="end"/>
        <w:rPr/>
      </w:pPr>
      <w:r>
        <w:rPr>
          <w:sz w:val="48"/>
        </w:rPr>
        <w:tab/>
      </w:r>
      <w:r>
        <w:rPr>
          <w:b/>
        </w:rPr>
        <w:t>ATTORNEY WORK PRODUCT</w:t>
      </w:r>
    </w:p>
    <w:p>
      <w:pPr>
        <w:pStyle w:val="Normal"/>
        <w:pBdr>
          <w:top w:val="single" w:sz="12" w:space="1" w:color="000000"/>
        </w:pBdr>
        <w:tabs>
          <w:tab w:val="clear" w:pos="720"/>
          <w:tab w:val="left" w:pos="1530" w:leader="none"/>
          <w:tab w:val="left" w:pos="6030" w:leader="none"/>
          <w:tab w:val="right" w:pos="9000" w:leader="none"/>
        </w:tabs>
        <w:spacing w:before="120" w:after="0"/>
        <w:ind w:end="-90"/>
        <w:rPr/>
      </w:pPr>
      <w:r>
        <w:rPr>
          <w:b/>
        </w:rPr>
        <w:t>TO:</w:t>
      </w:r>
      <w:r>
        <w:rPr/>
        <w:tab/>
        <w:t>Mark Haedicke</w:t>
        <w:tab/>
      </w:r>
      <w:r>
        <w:rPr>
          <w:b/>
          <w:bCs/>
        </w:rPr>
        <w:t xml:space="preserve">DATE:  </w:t>
      </w:r>
      <w:r>
        <w:rPr/>
        <w:t>November 10, 2000</w:t>
      </w:r>
    </w:p>
    <w:p>
      <w:pPr>
        <w:pStyle w:val="Normal"/>
        <w:pBdr>
          <w:top w:val="single" w:sz="12" w:space="1" w:color="000000"/>
        </w:pBdr>
        <w:tabs>
          <w:tab w:val="clear" w:pos="720"/>
          <w:tab w:val="left" w:pos="1530" w:leader="none"/>
          <w:tab w:val="left" w:pos="6030" w:leader="none"/>
          <w:tab w:val="right" w:pos="9000" w:leader="none"/>
        </w:tabs>
        <w:spacing w:before="120" w:after="0"/>
        <w:ind w:end="-90"/>
        <w:rPr/>
      </w:pPr>
      <w:r>
        <w:rPr/>
        <w:tab/>
        <w:t>Lance Schuler</w:t>
      </w:r>
    </w:p>
    <w:p>
      <w:pPr>
        <w:pStyle w:val="Normal"/>
        <w:pBdr>
          <w:top w:val="single" w:sz="12" w:space="1" w:color="000000"/>
        </w:pBdr>
        <w:tabs>
          <w:tab w:val="clear" w:pos="720"/>
          <w:tab w:val="left" w:pos="1530" w:leader="none"/>
          <w:tab w:val="left" w:pos="6030" w:leader="none"/>
          <w:tab w:val="right" w:pos="9000" w:leader="none"/>
        </w:tabs>
        <w:spacing w:before="120" w:after="0"/>
        <w:ind w:end="-90"/>
        <w:rPr/>
      </w:pPr>
      <w:r>
        <w:rPr/>
        <w:tab/>
        <w:t>Travis McCullough</w:t>
      </w:r>
    </w:p>
    <w:p>
      <w:pPr>
        <w:pStyle w:val="Normal"/>
        <w:pBdr>
          <w:top w:val="single" w:sz="12" w:space="1" w:color="000000"/>
        </w:pBdr>
        <w:tabs>
          <w:tab w:val="clear" w:pos="720"/>
          <w:tab w:val="left" w:pos="1530" w:leader="none"/>
          <w:tab w:val="right" w:pos="9000" w:leader="none"/>
        </w:tabs>
        <w:spacing w:before="120" w:after="0"/>
        <w:ind w:end="-90"/>
        <w:rPr/>
      </w:pPr>
      <w:r>
        <w:rPr>
          <w:b/>
        </w:rPr>
        <w:t>FROM:</w:t>
      </w:r>
      <w:r>
        <w:rPr/>
        <w:tab/>
        <w:t>Angela D. Davis</w:t>
        <w:tab/>
      </w:r>
      <w:r>
        <w:rPr>
          <w:b/>
        </w:rPr>
        <w:t xml:space="preserve">DEPARTMENT:  </w:t>
      </w:r>
      <w:r>
        <w:rPr/>
        <w:t>ENA</w:t>
      </w:r>
      <w:r>
        <w:rPr>
          <w:b/>
        </w:rPr>
        <w:t xml:space="preserve"> </w:t>
      </w:r>
      <w:r>
        <w:rPr/>
        <w:t>Legal</w:t>
      </w:r>
    </w:p>
    <w:p>
      <w:pPr>
        <w:pStyle w:val="Normal"/>
        <w:pBdr>
          <w:bottom w:val="single" w:sz="12" w:space="1" w:color="000000"/>
        </w:pBdr>
        <w:tabs>
          <w:tab w:val="left" w:pos="720" w:leader="none"/>
          <w:tab w:val="left" w:pos="1530" w:leader="none"/>
          <w:tab w:val="left" w:pos="5040" w:leader="none"/>
          <w:tab w:val="left" w:pos="6480" w:leader="none"/>
        </w:tabs>
        <w:spacing w:before="120" w:after="0"/>
        <w:ind w:hanging="1530" w:start="1530" w:end="0"/>
        <w:rPr/>
      </w:pPr>
      <w:r>
        <w:rPr>
          <w:b/>
          <w:bCs/>
        </w:rPr>
        <w:t>SUBJECT</w:t>
      </w:r>
      <w:r>
        <w:rPr/>
        <w:t>:</w:t>
        <w:tab/>
        <w:t>Urban Financial Group, Inc. (the “Company”)</w:t>
      </w:r>
    </w:p>
    <w:p>
      <w:pPr>
        <w:pStyle w:val="Normal"/>
        <w:pBdr>
          <w:bottom w:val="single" w:sz="12" w:space="1" w:color="000000"/>
        </w:pBdr>
        <w:tabs>
          <w:tab w:val="left" w:pos="720" w:leader="none"/>
          <w:tab w:val="left" w:pos="1530" w:leader="none"/>
          <w:tab w:val="left" w:pos="5040" w:leader="none"/>
          <w:tab w:val="left" w:pos="6480" w:leader="none"/>
        </w:tabs>
        <w:spacing w:before="120" w:after="0"/>
        <w:ind w:hanging="1530" w:start="1530" w:end="0"/>
        <w:rPr/>
      </w:pPr>
      <w:r>
        <w:rPr>
          <w:b/>
          <w:bCs/>
        </w:rPr>
        <w:t>RISK FACTOR</w:t>
      </w:r>
      <w:r>
        <w:rPr/>
        <w:t>:  1</w:t>
      </w:r>
    </w:p>
    <w:p>
      <w:pPr>
        <w:pStyle w:val="Normal"/>
        <w:jc w:val="both"/>
        <w:rPr/>
      </w:pPr>
      <w:r>
        <w:rPr/>
      </w:r>
    </w:p>
    <w:p>
      <w:pPr>
        <w:pStyle w:val="Normal"/>
        <w:ind w:start="360" w:end="0"/>
        <w:jc w:val="both"/>
        <w:rPr/>
      </w:pPr>
      <w:r>
        <w:rPr/>
        <w:t xml:space="preserve">The Company was recently organized in Delaware to own all of the capital stock of The Community’s Bank, a Connecticut state chartered bank organized to acquire three existing bank branches from Fleet Boston corporation, Fleet Bank and Bank Boston, NA (the “Acquisition”).  The Company intends to file an application with the Federal Reserve to become a registered bank holding company under the Bank Holding Company Act of 1956, as amended.  To finance the Acquisition, the Company plans to issue three classes of its stock to investors in an offering exempt from registration under the U.S. securities laws, in which $14,000,000 is proposed to be raised (the “Offering”).  Two classes of common stock are proposed to be issued, one voting and one non-voting, and one class of preferred shares.  Under the terms of the offering, subscriptions for less than all the shares may be sold.  Houston Economic Opportunity Fund II, L.P. (“HEOF”) proposes to invest $1,500,000 in the non-voting shares of common stock of the Company.  Other than Peter Hurst, chairman of the board of directors and an advisor to the Company, no person will be allowed to purchase in excess of 10% of the voting common stock of the Company, pursuant to the Offering  </w:t>
      </w:r>
    </w:p>
    <w:p>
      <w:pPr>
        <w:pStyle w:val="Normal"/>
        <w:ind w:start="360" w:end="0"/>
        <w:jc w:val="both"/>
        <w:rPr/>
      </w:pPr>
      <w:r>
        <w:rPr/>
      </w:r>
    </w:p>
    <w:p>
      <w:pPr>
        <w:pStyle w:val="Heading2"/>
        <w:rPr/>
      </w:pPr>
      <w:r>
        <w:rPr/>
        <w:t>Risks</w:t>
      </w:r>
    </w:p>
    <w:p>
      <w:pPr>
        <w:pStyle w:val="Normal"/>
        <w:ind w:start="360" w:end="0"/>
        <w:jc w:val="both"/>
        <w:rPr/>
      </w:pPr>
      <w:r>
        <w:rPr/>
      </w:r>
    </w:p>
    <w:p>
      <w:pPr>
        <w:pStyle w:val="Normal"/>
        <w:numPr>
          <w:ilvl w:val="0"/>
          <w:numId w:val="2"/>
        </w:numPr>
        <w:jc w:val="both"/>
        <w:rPr/>
      </w:pPr>
      <w:r>
        <w:rPr/>
        <w:t>Although the Offering Memorandum provides that the Company may proceed with the offering with less than 100% of the shares subscribed, subscription proceeds will be placed in an escrow account with a provision for the return thereof if the Company fails to obtain all regulatory approvals or fails to complete the purchase of the three banks.</w:t>
      </w:r>
    </w:p>
    <w:p>
      <w:pPr>
        <w:pStyle w:val="Normal"/>
        <w:ind w:start="720" w:end="0"/>
        <w:jc w:val="both"/>
        <w:rPr/>
      </w:pPr>
      <w:r>
        <w:rPr/>
      </w:r>
    </w:p>
    <w:p>
      <w:pPr>
        <w:pStyle w:val="Normal"/>
        <w:numPr>
          <w:ilvl w:val="0"/>
          <w:numId w:val="2"/>
        </w:numPr>
        <w:jc w:val="both"/>
        <w:rPr/>
      </w:pPr>
      <w:r>
        <w:rPr/>
        <w:t xml:space="preserve">HEOF will purchase the non-voting Class B common stock of the Company.  However HEOF will have the ability to influence management, since after being apprised of the risks of board representation, HEOF has elected to enter into a letter agreement with Peter Hurst, pursuant to which Hurst will agree to appoint a representative of HEOF to the board of directors of the Company.  </w:t>
      </w:r>
    </w:p>
    <w:p>
      <w:pPr>
        <w:pStyle w:val="Normal"/>
        <w:jc w:val="both"/>
        <w:rPr/>
      </w:pPr>
      <w:r>
        <w:rPr/>
      </w:r>
    </w:p>
    <w:p>
      <w:pPr>
        <w:pStyle w:val="Normal"/>
        <w:numPr>
          <w:ilvl w:val="0"/>
          <w:numId w:val="2"/>
        </w:numPr>
        <w:jc w:val="both"/>
        <w:rPr/>
      </w:pPr>
      <w:r>
        <w:rPr/>
        <w:t>HEOF’s investment will be illiquid due to the lack of market for its shares and because the shares are unregistered under the U.S. securities laws</w:t>
      </w:r>
    </w:p>
    <w:p>
      <w:pPr>
        <w:pStyle w:val="Normal"/>
        <w:jc w:val="both"/>
        <w:rPr/>
      </w:pPr>
      <w:r>
        <w:rPr/>
      </w:r>
    </w:p>
    <w:p>
      <w:pPr>
        <w:pStyle w:val="Normal"/>
        <w:numPr>
          <w:ilvl w:val="0"/>
          <w:numId w:val="2"/>
        </w:numPr>
        <w:jc w:val="both"/>
        <w:rPr/>
      </w:pPr>
      <w:r>
        <w:rPr/>
        <w:t>Peter Hurst will own 600 shares of the voting common stock, constituting 15% of the outstanding common stock.  Mr. Hurst also intends to purchase a warrant to purchase an additional 700 shares and will have an option for an additional 350 shares under the Company’s stock option plan.  The offering memo for the Offering provides that no person may acquire in excess of 10% of the voting common stock of the Company, other than Mr. Hurst.  Consequently, Mr. Hurst may be able to exert control over matters subject to vote by the shareholders of the Company.</w:t>
      </w:r>
    </w:p>
    <w:p>
      <w:pPr>
        <w:pStyle w:val="Normal"/>
        <w:jc w:val="both"/>
        <w:rPr/>
      </w:pPr>
      <w:r>
        <w:rPr/>
      </w:r>
    </w:p>
    <w:p>
      <w:pPr>
        <w:pStyle w:val="Normal"/>
        <w:numPr>
          <w:ilvl w:val="0"/>
          <w:numId w:val="2"/>
        </w:numPr>
        <w:jc w:val="both"/>
        <w:rPr/>
      </w:pPr>
      <w:r>
        <w:rPr/>
        <w:t>HEOF and the other subscribers of the Company’s stock will not have stock registration rights.  However, the subscribers have been granted tagalong rights with respect to registrations of the Company’s stock, sales of stock to third parties and redemptions of any stock of Peter Hurst.</w:t>
      </w:r>
    </w:p>
    <w:p>
      <w:pPr>
        <w:pStyle w:val="Normal"/>
        <w:jc w:val="both"/>
        <w:rPr/>
      </w:pPr>
      <w:r>
        <w:rPr/>
      </w:r>
    </w:p>
    <w:p>
      <w:pPr>
        <w:pStyle w:val="Normal"/>
        <w:numPr>
          <w:ilvl w:val="0"/>
          <w:numId w:val="2"/>
        </w:numPr>
        <w:jc w:val="both"/>
        <w:rPr/>
      </w:pPr>
      <w:r>
        <w:rPr/>
        <w:t>It is anticipated that the Company will grow the business of the banks and sell them in about five years. A hostile buy out of the Company would be difficult, since the Company has adopted certain anti-takeover measures.</w:t>
      </w:r>
    </w:p>
    <w:p>
      <w:pPr>
        <w:pStyle w:val="Normal"/>
        <w:jc w:val="both"/>
        <w:rPr/>
      </w:pPr>
      <w:r>
        <w:rPr/>
      </w:r>
    </w:p>
    <w:p>
      <w:pPr>
        <w:pStyle w:val="Normal"/>
        <w:jc w:val="both"/>
        <w:rPr/>
      </w:pPr>
      <w:r>
        <w:rPr/>
      </w:r>
    </w:p>
    <w:p>
      <w:pPr>
        <w:pStyle w:val="Normal"/>
        <w:jc w:val="both"/>
        <w:rPr/>
      </w:pPr>
      <w:r>
        <w:rPr/>
      </w:r>
    </w:p>
    <w:p>
      <w:pPr>
        <w:pStyle w:val="Normal"/>
        <w:jc w:val="both"/>
        <w:rPr/>
      </w:pPr>
      <w:r>
        <w:rPr/>
        <w:t>cc:  Mark Lay</w:t>
      </w:r>
    </w:p>
    <w:p>
      <w:pPr>
        <w:pStyle w:val="Normal"/>
        <w:jc w:val="both"/>
        <w:rPr/>
      </w:pPr>
      <w:r>
        <w:rPr/>
        <w:t xml:space="preserve">      </w:t>
      </w:r>
      <w:r>
        <w:rPr/>
        <w:t>Mic Johns</w:t>
      </w:r>
    </w:p>
    <w:sectPr>
      <w:headerReference w:type="default" r:id="rId3"/>
      <w:headerReference w:type="first" r:id="rId4"/>
      <w:footerReference w:type="default" r:id="rId5"/>
      <w:footerReference w:type="first" r:id="rId6"/>
      <w:type w:val="nextPage"/>
      <w:pgSz w:w="12240" w:h="15840"/>
      <w:pgMar w:left="1440" w:right="1440" w:gutter="0" w:header="576" w:top="1440" w:footer="432"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/mnt/main-storage/datasets/enron-docs/doc/urbanriskmemo-a31a4ffdfa58dd3579f770e2839198f88f6c9fd386b5667b30ff2ecc0d4f46b0.doc</w:t>
    </w:r>
    <w:r>
      <w:rPr>
        <w:sz w:val="1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5580" w:leader="none"/>
      </w:tabs>
      <w:rPr>
        <w:sz w:val="20"/>
      </w:rPr>
    </w:pPr>
    <w:r>
      <w:rPr>
        <w:sz w:val="20"/>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17716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177165" cy="177165"/>
                      </a:xfrm>
                      <a:prstGeom prst="rect"/>
                      <a:solidFill>
                        <a:srgbClr val="FFFFFF">
                          <a:alpha val="0"/>
                        </a:srgbClr>
                      </a:solidFill>
                    </wps:spPr>
                    <wps:txbx>
                      <w:txbxContent>
                        <w:p>
                          <w:pPr>
                            <w:pStyle w:val="Head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3.95pt;height:13.95pt;mso-wrap-distance-left:0pt;mso-wrap-distance-right:0pt;mso-wrap-distance-top:0pt;mso-wrap-distance-bottom:0pt;margin-top:0.05pt;mso-position-vertical-relative:text;margin-left:227.05pt;mso-position-horizontal:center;mso-position-horizontal-relative:margin">
              <v:fill opacity="0f"/>
              <v:textbox inset="0in,0in,0in,0in">
                <w:txbxContent>
                  <w:p>
                    <w:pPr>
                      <w:pStyle w:val="Head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p>
                </w:txbxContent>
              </v:textbox>
              <w10:wrap type="square"/>
            </v:rect>
          </w:pict>
        </mc:Fallback>
      </mc:AlternateContent>
    </w:r>
  </w:p>
  <w:p>
    <w:pPr>
      <w:pStyle w:val="Header"/>
      <w:tabs>
        <w:tab w:val="clear" w:pos="8640"/>
        <w:tab w:val="center" w:pos="4320" w:leader="none"/>
        <w:tab w:val="right" w:pos="5580" w:leader="none"/>
      </w:tabs>
      <w:rPr>
        <w:sz w:val="20"/>
      </w:rPr>
    </w:pPr>
    <w:r>
      <w:rPr>
        <w:sz w:val="20"/>
      </w:rPr>
    </w:r>
  </w:p>
  <w:p>
    <w:pPr>
      <w:pStyle w:val="Header"/>
      <w:tabs>
        <w:tab w:val="clear" w:pos="8640"/>
        <w:tab w:val="center" w:pos="4320" w:leader="none"/>
        <w:tab w:val="right" w:pos="5580" w:leader="none"/>
      </w:tabs>
      <w:rPr/>
    </w:pPr>
    <w:r>
      <w:rPr/>
    </w:r>
  </w:p>
  <w:p>
    <w:pPr>
      <w:pStyle w:val="Header"/>
      <w:tabs>
        <w:tab w:val="clear" w:pos="8640"/>
        <w:tab w:val="center" w:pos="4320" w:leader="none"/>
        <w:tab w:val="right" w:pos="558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zCs w:val="24"/>
      <w:u w:val="single"/>
    </w:rPr>
  </w:style>
  <w:style w:type="paragraph" w:styleId="Heading2">
    <w:name w:val="heading 2"/>
    <w:basedOn w:val="Normal"/>
    <w:next w:val="Normal"/>
    <w:qFormat/>
    <w:pPr>
      <w:keepNext w:val="true"/>
      <w:numPr>
        <w:ilvl w:val="1"/>
        <w:numId w:val="1"/>
      </w:numPr>
      <w:ind w:hanging="0" w:start="360" w:end="0"/>
      <w:jc w:val="both"/>
      <w:outlineLvl w:val="1"/>
    </w:pPr>
    <w:rPr>
      <w:b/>
      <w:bCs/>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1z0">
    <w:name w:val="WW8Num1z0"/>
    <w:qFormat/>
    <w:rPr/>
  </w:style>
  <w:style w:type="character" w:styleId="WW8Num2z0">
    <w:name w:val="WW8Num2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 w:val="left" w:pos="1530" w:leader="none"/>
        <w:tab w:val="left" w:pos="5040" w:leader="none"/>
        <w:tab w:val="left" w:pos="6480" w:leader="none"/>
      </w:tabs>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keepNext w:val="true"/>
      <w:tabs>
        <w:tab w:val="clear" w:pos="720"/>
        <w:tab w:val="right" w:pos="8640" w:leader="dot"/>
      </w:tabs>
      <w:spacing w:before="120" w:after="120"/>
      <w:jc w:val="center"/>
    </w:pPr>
    <w:rPr>
      <w:rFonts w:ascii="Times" w:hAnsi="Times" w:cs="Times"/>
      <w:b/>
    </w:rPr>
  </w:style>
  <w:style w:type="paragraph" w:styleId="TOC2">
    <w:name w:val="toc 2"/>
    <w:basedOn w:val="Normal"/>
    <w:next w:val="Normal"/>
    <w:pPr>
      <w:tabs>
        <w:tab w:val="clear" w:pos="720"/>
        <w:tab w:val="right" w:pos="8640" w:leader="dot"/>
      </w:tabs>
    </w:pPr>
    <w:rPr>
      <w:color w:val="00008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1080" w:end="0"/>
      <w:jc w:val="both"/>
    </w:pPr>
    <w:rPr/>
  </w:style>
  <w:style w:type="paragraph" w:styleId="BodyTextIndent2">
    <w:name w:val="Body Text Indent 2"/>
    <w:basedOn w:val="Normal"/>
    <w:qFormat/>
    <w:pPr>
      <w:ind w:hanging="0" w:start="360" w:end="0"/>
      <w:jc w:val="both"/>
    </w:pPr>
    <w:rPr>
      <w:b/>
      <w:bCs/>
      <w:i/>
      <w:iCs/>
    </w:rPr>
  </w:style>
  <w:style w:type="paragraph" w:styleId="NormalIndent">
    <w:name w:val="Normal Indent"/>
    <w:basedOn w:val="Normal"/>
    <w:qFormat/>
    <w:pPr>
      <w:ind w:hanging="0" w:start="72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2000-10-23T12:12:00Z</dcterms:created>
  <dc:creator>ECT</dc:creator>
  <dc:description/>
  <dc:language>en-CA</dc:language>
  <cp:lastModifiedBy>adavis4</cp:lastModifiedBy>
  <cp:lastPrinted>2000-11-10T15:43:00Z</cp:lastPrinted>
  <dcterms:modified xsi:type="dcterms:W3CDTF">2000-11-10T19:13:00Z</dcterms:modified>
  <cp:revision>24</cp:revision>
  <dc:subject/>
  <dc:title> 	</dc:title>
</cp:coreProperties>
</file>