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015503515" r:id="rId2"/>
        </w:object>
      </w:r>
      <w:r>
        <w:rPr>
          <w:rFonts w:eastAsia="Garamond" w:cs="Garamond" w:ascii="Garamond" w:hAnsi="Garamond"/>
          <w:emboss/>
          <w:color w:val="000080"/>
          <w:sz w:val="48"/>
        </w:rPr>
        <w:t xml:space="preserve">                               </w:t>
      </w:r>
      <w:r>
        <w:rPr>
          <w:rFonts w:cs="Garamond" w:ascii="Garamond" w:hAnsi="Garamond"/>
          <w:color w:val="000080"/>
          <w:sz w:val="40"/>
        </w:rPr>
        <w:t xml:space="preserve">Enron Americas </w:t>
      </w:r>
    </w:p>
    <w:p>
      <w:pPr>
        <w:pStyle w:val="Subtitle"/>
        <w:ind w:start="5040" w:end="0"/>
        <w:jc w:val="end"/>
        <w:rPr>
          <w:rFonts w:ascii="Garamond" w:hAnsi="Garamond" w:cs="Garamond"/>
          <w:color w:val="000080"/>
          <w:sz w:val="40"/>
        </w:rPr>
      </w:pPr>
      <w:r>
        <w:rPr>
          <w:rFonts w:cs="Garamond" w:ascii="Garamond" w:hAnsi="Garamond"/>
          <w:color w:val="000080"/>
          <w:sz w:val="40"/>
        </w:rPr>
        <w:t>Competitive Analysis</w:t>
      </w:r>
    </w:p>
    <w:p>
      <w:pPr>
        <w:pStyle w:val="Subtitle"/>
        <w:ind w:start="5040" w:end="0"/>
        <w:jc w:val="end"/>
        <w:rPr>
          <w:rFonts w:ascii="Garamond" w:hAnsi="Garamond" w:eastAsia="Garamond" w:cs="Garamond"/>
          <w:color w:val="000080"/>
          <w:sz w:val="40"/>
        </w:rPr>
      </w:pPr>
      <w:r>
        <w:rPr>
          <w:rFonts w:eastAsia="Garamond" w:cs="Garamond" w:ascii="Garamond" w:hAnsi="Garamond"/>
          <w:color w:val="000080"/>
          <w:sz w:val="40"/>
        </w:rPr>
        <w:t xml:space="preserve"> </w:t>
      </w:r>
    </w:p>
    <w:p>
      <w:pPr>
        <w:pStyle w:val="Subtitle"/>
        <w:jc w:val="start"/>
        <w:rPr>
          <w:rFonts w:ascii="Garamond" w:hAnsi="Garamond" w:cs="Garamond"/>
          <w:color w:val="000080"/>
          <w:sz w:val="28"/>
        </w:rPr>
      </w:pPr>
      <w:r>
        <w:rPr>
          <w:rFonts w:cs="Garamond" w:ascii="Garamond" w:hAnsi="Garamond"/>
          <w:color w:val="000080"/>
          <w:sz w:val="28"/>
        </w:rPr>
      </w:r>
    </w:p>
    <w:p>
      <w:pPr>
        <w:pStyle w:val="Subtitle"/>
        <w:jc w:val="start"/>
        <w:rPr>
          <w:rFonts w:ascii="Garamond" w:hAnsi="Garamond" w:cs="Garamond"/>
          <w:color w:val="000080"/>
          <w:sz w:val="28"/>
        </w:rPr>
      </w:pPr>
      <w:r>
        <w:rPr>
          <w:rFonts w:cs="Garamond" w:ascii="Garamond" w:hAnsi="Garamond"/>
          <w:color w:val="000080"/>
          <w:sz w:val="28"/>
        </w:rPr>
      </w:r>
    </w:p>
    <w:p>
      <w:pPr>
        <w:pStyle w:val="BodyText2"/>
        <w:tabs>
          <w:tab w:val="left" w:pos="720" w:leader="none"/>
        </w:tabs>
        <w:rPr>
          <w:sz w:val="24"/>
        </w:rPr>
      </w:pPr>
      <w:r>
        <w:rPr>
          <w:sz w:val="24"/>
        </w:rPr>
        <w:t>To:</w:t>
        <w:tab/>
        <w:t>Lloyd Will</w:t>
      </w:r>
    </w:p>
    <w:p>
      <w:pPr>
        <w:pStyle w:val="BodyText2"/>
        <w:tabs>
          <w:tab w:val="left" w:pos="720" w:leader="none"/>
        </w:tabs>
        <w:rPr>
          <w:sz w:val="24"/>
        </w:rPr>
      </w:pPr>
      <w:r>
        <w:rPr>
          <w:sz w:val="24"/>
        </w:rPr>
        <w:t>From:</w:t>
        <w:tab/>
        <w:t>Kristin Walsh and Kelly Holman</w:t>
      </w:r>
    </w:p>
    <w:p>
      <w:pPr>
        <w:pStyle w:val="BodyText2"/>
        <w:tabs>
          <w:tab w:val="left" w:pos="720" w:leader="none"/>
        </w:tabs>
        <w:rPr>
          <w:sz w:val="24"/>
        </w:rPr>
      </w:pPr>
      <w:r>
        <w:rPr>
          <w:sz w:val="24"/>
        </w:rPr>
        <w:t xml:space="preserve">Date: </w:t>
        <w:tab/>
        <w:t>May 15, 2001</w:t>
      </w:r>
    </w:p>
    <w:p>
      <w:pPr>
        <w:pStyle w:val="BodyText2"/>
        <w:pBdr>
          <w:bottom w:val="single" w:sz="12" w:space="1" w:color="000000"/>
        </w:pBdr>
        <w:tabs>
          <w:tab w:val="left" w:pos="720" w:leader="none"/>
        </w:tabs>
        <w:rPr>
          <w:sz w:val="24"/>
        </w:rPr>
      </w:pPr>
      <w:r>
        <w:rPr>
          <w:sz w:val="24"/>
        </w:rPr>
        <w:t>Re:</w:t>
        <w:tab/>
        <w:t>UPDATE 2: New Generation Project</w:t>
      </w:r>
    </w:p>
    <w:p>
      <w:pPr>
        <w:pStyle w:val="BodyText2"/>
        <w:pBdr>
          <w:bottom w:val="single" w:sz="12" w:space="1" w:color="000000"/>
        </w:pBdr>
        <w:tabs>
          <w:tab w:val="left" w:pos="720" w:leader="none"/>
        </w:tabs>
        <w:rPr>
          <w:sz w:val="8"/>
        </w:rPr>
      </w:pPr>
      <w:r>
        <w:rPr>
          <w:sz w:val="8"/>
        </w:rPr>
      </w:r>
    </w:p>
    <w:p>
      <w:pPr>
        <w:pStyle w:val="BodyText2"/>
        <w:tabs>
          <w:tab w:val="left" w:pos="720" w:leader="none"/>
        </w:tabs>
        <w:jc w:val="both"/>
        <w:rPr>
          <w:b/>
          <w:bCs/>
          <w:sz w:val="4"/>
        </w:rPr>
      </w:pPr>
      <w:r>
        <w:rPr>
          <w:b/>
          <w:bCs/>
          <w:sz w:val="4"/>
        </w:rPr>
      </w:r>
    </w:p>
    <w:p>
      <w:pPr>
        <w:pStyle w:val="BodyText2"/>
        <w:tabs>
          <w:tab w:val="left" w:pos="720" w:leader="none"/>
        </w:tabs>
        <w:jc w:val="both"/>
        <w:rPr>
          <w:sz w:val="24"/>
        </w:rPr>
      </w:pPr>
      <w:r>
        <w:rPr>
          <w:sz w:val="24"/>
        </w:rPr>
        <w:t>Below is a summary of the current situation regarding the New Generation project.  If you have any questions, please feel free to contact me directly (x39510) or Kelly Holman (x39844).</w:t>
      </w:r>
    </w:p>
    <w:p>
      <w:pPr>
        <w:pStyle w:val="BodyText2"/>
        <w:tabs>
          <w:tab w:val="left" w:pos="720" w:leader="none"/>
        </w:tabs>
        <w:jc w:val="both"/>
        <w:rPr>
          <w:b/>
          <w:bCs/>
          <w:sz w:val="24"/>
        </w:rPr>
      </w:pPr>
      <w:r>
        <w:rPr>
          <w:b/>
          <w:bCs/>
          <w:sz w:val="24"/>
        </w:rPr>
      </w:r>
    </w:p>
    <w:p>
      <w:pPr>
        <w:pStyle w:val="BodyText3"/>
        <w:autoSpaceDE w:val="false"/>
        <w:spacing w:lineRule="auto" w:line="240"/>
        <w:jc w:val="both"/>
        <w:rPr>
          <w:b/>
          <w:bCs/>
        </w:rPr>
      </w:pPr>
      <w:r>
        <w:rPr>
          <w:b/>
          <w:bCs/>
        </w:rPr>
        <w:t>Great River Energy</w:t>
      </w:r>
    </w:p>
    <w:p>
      <w:pPr>
        <w:pStyle w:val="BodyText3"/>
        <w:autoSpaceDE w:val="false"/>
        <w:spacing w:lineRule="auto" w:line="240"/>
        <w:jc w:val="both"/>
        <w:rPr/>
      </w:pPr>
      <w:r>
        <w:rPr/>
        <w:tab/>
      </w:r>
      <w:r>
        <w:rPr>
          <w:b/>
          <w:bCs/>
          <w:i/>
          <w:iCs/>
        </w:rPr>
        <w:t>Lakefield Junction</w:t>
      </w:r>
    </w:p>
    <w:p>
      <w:pPr>
        <w:pStyle w:val="Normal"/>
        <w:numPr>
          <w:ilvl w:val="0"/>
          <w:numId w:val="3"/>
        </w:numPr>
        <w:autoSpaceDE w:val="false"/>
        <w:spacing w:lineRule="atLeast" w:line="240"/>
        <w:jc w:val="both"/>
        <w:rPr>
          <w:color w:val="000000"/>
          <w:sz w:val="24"/>
        </w:rPr>
      </w:pPr>
      <w:r>
        <w:rPr>
          <w:color w:val="000000"/>
          <w:sz w:val="24"/>
        </w:rPr>
        <w:t>The Lakefield Junction peaker plant will be composed of six 85 MW units.  According to our source, one of the units has already been tested and will be made available to the grid for commercial use on 05/18 or 05/19.  The plant will conduct the state-mandated emissions monitoring test and submit the data to the relevant state office.  Upon acceptance of the data, the plant will be certified to operate and supply power to the grid.  Upon startup, each unit takes 20 minutes to reach full output.  After 05/19, each subsequent unit will be similarly certified on a rolling basis with units coming online every 2 to 3 days.  All six units are expected to be online by 06/01.</w:t>
      </w:r>
    </w:p>
    <w:p>
      <w:pPr>
        <w:pStyle w:val="BodyText3"/>
        <w:autoSpaceDE w:val="false"/>
        <w:spacing w:lineRule="auto" w:line="240"/>
        <w:jc w:val="both"/>
        <w:rPr>
          <w:color w:val="000000"/>
          <w:sz w:val="24"/>
        </w:rPr>
      </w:pPr>
      <w:r>
        <w:rPr>
          <w:color w:val="000000"/>
          <w:sz w:val="24"/>
        </w:rPr>
      </w:r>
    </w:p>
    <w:p>
      <w:pPr>
        <w:pStyle w:val="BodyText3"/>
        <w:autoSpaceDE w:val="false"/>
        <w:spacing w:lineRule="auto" w:line="240"/>
        <w:jc w:val="both"/>
        <w:rPr>
          <w:b/>
          <w:bCs/>
        </w:rPr>
      </w:pPr>
      <w:r>
        <w:rPr>
          <w:b/>
          <w:bCs/>
        </w:rPr>
        <w:t>Connectiv</w:t>
      </w:r>
    </w:p>
    <w:p>
      <w:pPr>
        <w:pStyle w:val="BodyText3"/>
        <w:autoSpaceDE w:val="false"/>
        <w:spacing w:lineRule="auto" w:line="240"/>
        <w:jc w:val="both"/>
        <w:rPr/>
      </w:pPr>
      <w:r>
        <w:rPr/>
        <w:tab/>
      </w:r>
      <w:r>
        <w:rPr>
          <w:b/>
          <w:bCs/>
          <w:i/>
          <w:iCs/>
        </w:rPr>
        <w:t>New Castle</w:t>
      </w:r>
    </w:p>
    <w:p>
      <w:pPr>
        <w:pStyle w:val="Normal"/>
        <w:numPr>
          <w:ilvl w:val="0"/>
          <w:numId w:val="4"/>
        </w:numPr>
        <w:autoSpaceDE w:val="false"/>
        <w:spacing w:lineRule="atLeast" w:line="240" w:before="0" w:after="80"/>
        <w:jc w:val="both"/>
        <w:rPr>
          <w:color w:val="000000"/>
          <w:sz w:val="24"/>
        </w:rPr>
      </w:pPr>
      <w:r>
        <w:rPr>
          <w:color w:val="000000"/>
          <w:sz w:val="24"/>
        </w:rPr>
        <w:t>The New Castle plant has three 120-MW simple-cycle, gas-fired generators.  A source stated that the plant has conducted some testing but is not finished with the testing process.  The project was described as on time, on schedule and on budget with one generator to come online in June, one in July, and one in August.</w:t>
      </w:r>
    </w:p>
    <w:p>
      <w:pPr>
        <w:pStyle w:val="Normal"/>
        <w:numPr>
          <w:ilvl w:val="0"/>
          <w:numId w:val="4"/>
        </w:numPr>
        <w:autoSpaceDE w:val="false"/>
        <w:spacing w:lineRule="atLeast" w:line="240"/>
        <w:jc w:val="both"/>
        <w:rPr>
          <w:color w:val="000000"/>
          <w:sz w:val="24"/>
        </w:rPr>
      </w:pPr>
      <w:r>
        <w:rPr>
          <w:color w:val="000000"/>
          <w:sz w:val="24"/>
        </w:rPr>
        <w:t>The source indicated future plans include the addition of a combined-cycle steam generator and turbine to operate from heat generated by the three gas turbines.  This unit is planned to be online in June 2002.</w:t>
      </w:r>
    </w:p>
    <w:p>
      <w:pPr>
        <w:pStyle w:val="BodyText3"/>
        <w:autoSpaceDE w:val="false"/>
        <w:spacing w:lineRule="auto" w:line="240"/>
        <w:jc w:val="both"/>
        <w:rPr>
          <w:color w:val="000000"/>
          <w:sz w:val="24"/>
        </w:rPr>
      </w:pPr>
      <w:r>
        <w:rPr>
          <w:color w:val="000000"/>
          <w:sz w:val="24"/>
        </w:rPr>
      </w:r>
    </w:p>
    <w:p>
      <w:pPr>
        <w:pStyle w:val="BodyText3"/>
        <w:autoSpaceDE w:val="false"/>
        <w:spacing w:lineRule="auto" w:line="240"/>
        <w:jc w:val="both"/>
        <w:rPr>
          <w:b/>
          <w:bCs/>
        </w:rPr>
      </w:pPr>
      <w:r>
        <w:rPr>
          <w:b/>
          <w:bCs/>
        </w:rPr>
        <w:t>Carolina Power &amp; Light</w:t>
      </w:r>
    </w:p>
    <w:p>
      <w:pPr>
        <w:pStyle w:val="BodyText3"/>
        <w:autoSpaceDE w:val="false"/>
        <w:spacing w:lineRule="auto" w:line="240"/>
        <w:jc w:val="both"/>
        <w:rPr/>
      </w:pPr>
      <w:r>
        <w:rPr>
          <w:b/>
          <w:bCs/>
        </w:rPr>
        <w:tab/>
      </w:r>
      <w:r>
        <w:rPr>
          <w:b/>
          <w:bCs/>
          <w:i/>
          <w:iCs/>
        </w:rPr>
        <w:t>MEAG/Merchant</w:t>
      </w:r>
    </w:p>
    <w:p>
      <w:pPr>
        <w:pStyle w:val="Normal"/>
        <w:numPr>
          <w:ilvl w:val="0"/>
          <w:numId w:val="2"/>
        </w:numPr>
        <w:autoSpaceDE w:val="false"/>
        <w:spacing w:lineRule="atLeast" w:line="240"/>
        <w:jc w:val="both"/>
        <w:rPr>
          <w:color w:val="000000"/>
          <w:sz w:val="24"/>
        </w:rPr>
      </w:pPr>
      <w:r>
        <w:rPr>
          <w:sz w:val="24"/>
        </w:rPr>
        <w:t>Our source indicates that the one unit, 155-MW plant is currently testing.  The plant has an expected commercial operation date of 06/01 to meet CP&amp;L’s contract requirement with Dynegy.</w:t>
      </w:r>
    </w:p>
    <w:p>
      <w:pPr>
        <w:pStyle w:val="Normal"/>
        <w:autoSpaceDE w:val="false"/>
        <w:spacing w:lineRule="atLeast" w:line="240"/>
        <w:jc w:val="both"/>
        <w:rPr>
          <w:color w:val="000000"/>
          <w:sz w:val="24"/>
        </w:rPr>
      </w:pPr>
      <w:r>
        <w:rPr>
          <w:color w:val="000000"/>
          <w:sz w:val="24"/>
        </w:rPr>
      </w:r>
    </w:p>
    <w:p>
      <w:pPr>
        <w:pStyle w:val="Normal"/>
        <w:autoSpaceDE w:val="false"/>
        <w:spacing w:lineRule="atLeast" w:line="240"/>
        <w:jc w:val="both"/>
        <w:rPr>
          <w:color w:val="000000"/>
          <w:sz w:val="24"/>
        </w:rPr>
      </w:pPr>
      <w:r>
        <w:rPr>
          <w:color w:val="000000"/>
          <w:sz w:val="24"/>
        </w:rPr>
      </w:r>
    </w:p>
    <w:p>
      <w:pPr>
        <w:pStyle w:val="Normal"/>
        <w:autoSpaceDE w:val="false"/>
        <w:spacing w:lineRule="atLeast" w:line="240"/>
        <w:jc w:val="both"/>
        <w:rPr>
          <w:color w:val="000000"/>
          <w:sz w:val="24"/>
        </w:rPr>
      </w:pPr>
      <w:r>
        <w:rPr>
          <w:color w:val="000000"/>
          <w:sz w:val="24"/>
        </w:rPr>
      </w:r>
    </w:p>
    <w:p>
      <w:pPr>
        <w:pStyle w:val="Normal"/>
        <w:autoSpaceDE w:val="false"/>
        <w:spacing w:lineRule="atLeast" w:line="240"/>
        <w:jc w:val="both"/>
        <w:rPr>
          <w:color w:val="000000"/>
          <w:sz w:val="24"/>
        </w:rPr>
      </w:pPr>
      <w:r>
        <w:rPr>
          <w:color w:val="000000"/>
          <w:sz w:val="24"/>
        </w:rPr>
      </w:r>
    </w:p>
    <w:sectPr>
      <w:headerReference w:type="default" r:id="rId4"/>
      <w:type w:val="nextPage"/>
      <w:pgSz w:w="12240" w:h="15840"/>
      <w:pgMar w:left="1008" w:right="1008" w:gutter="0" w:header="576"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Wingdings 2">
    <w:charset w:val="0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style>
  <w:style w:type="character" w:styleId="WW8Num11z0">
    <w:name w:val="WW8Num11z0"/>
    <w:qFormat/>
    <w:rPr>
      <w:rFonts w:ascii="Times New Roman" w:hAnsi="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auto"/>
      <w:sz w:val="28"/>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2" w:hAnsi="Wingdings 2" w:cs="Wingdings 2"/>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2" w:hAnsi="Wingdings 2" w:cs="Wingdings 2"/>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Wingdings 2" w:hAnsi="Wingdings 2" w:cs="Wingdings 2"/>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Times New Roman" w:hAnsi="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rPr>
  </w:style>
  <w:style w:type="character" w:styleId="WW8Num32z0">
    <w:name w:val="WW8Num32z0"/>
    <w:qFormat/>
    <w:rPr>
      <w:rFonts w:ascii="Wingdings" w:hAnsi="Wingdings"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sz w:val="16"/>
    </w:rPr>
  </w:style>
  <w:style w:type="character" w:styleId="WW8Num43z0">
    <w:name w:val="WW8Num43z0"/>
    <w:qFormat/>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color w:val="auto"/>
      <w:sz w:val="28"/>
    </w:rPr>
  </w:style>
  <w:style w:type="character" w:styleId="WW8Num67z0">
    <w:name w:val="WW8Num67z0"/>
    <w:qFormat/>
    <w:rPr>
      <w:rFonts w:ascii="Symbol" w:hAnsi="Symbol" w:cs="Symbol"/>
      <w:color w:val="auto"/>
      <w:sz w:val="28"/>
    </w:rPr>
  </w:style>
  <w:style w:type="character" w:styleId="WW8Num68z0">
    <w:name w:val="WW8Num68z0"/>
    <w:qFormat/>
    <w:rPr>
      <w:rFonts w:ascii="Symbol" w:hAnsi="Symbol" w:cs="Symbol"/>
    </w:rPr>
  </w:style>
  <w:style w:type="character" w:styleId="WW8Num69z0">
    <w:name w:val="WW8Num69z0"/>
    <w:qFormat/>
    <w:rPr>
      <w:rFonts w:ascii="Wingdings" w:hAnsi="Wingdings" w:cs="Wingdings"/>
      <w:sz w:val="16"/>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color w:val="auto"/>
      <w:sz w:val="28"/>
    </w:rPr>
  </w:style>
  <w:style w:type="character" w:styleId="WW8Num73z0">
    <w:name w:val="WW8Num73z0"/>
    <w:qFormat/>
    <w:rPr/>
  </w:style>
  <w:style w:type="character" w:styleId="WW8Num74z0">
    <w:name w:val="WW8Num74z0"/>
    <w:qFormat/>
    <w:rPr>
      <w:b/>
      <w:i/>
    </w:rPr>
  </w:style>
  <w:style w:type="character" w:styleId="WW8Num75z0">
    <w:name w:val="WW8Num75z0"/>
    <w:qFormat/>
    <w:rPr>
      <w:rFonts w:ascii="Symbol" w:hAnsi="Symbol" w:cs="Symbol"/>
    </w:rPr>
  </w:style>
  <w:style w:type="character" w:styleId="WW8Num76z0">
    <w:name w:val="WW8Num76z0"/>
    <w:qFormat/>
    <w:rPr>
      <w:rFonts w:ascii="Symbol" w:hAnsi="Symbol" w:cs="Symbol"/>
      <w:color w:val="auto"/>
      <w:sz w:val="28"/>
    </w:rPr>
  </w:style>
  <w:style w:type="character" w:styleId="WW8Num77z0">
    <w:name w:val="WW8Num77z0"/>
    <w:qFormat/>
    <w:rPr>
      <w:rFonts w:ascii="Wingdings" w:hAnsi="Wingdings" w:cs="Wingdings"/>
      <w:color w:val="000000"/>
      <w:sz w:val="16"/>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Times New Roman" w:hAnsi="Times New Roman" w:cs="Times New Roman"/>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Wingdings" w:hAnsi="Wingdings" w:cs="Wingdings"/>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Wingdings" w:hAnsi="Wingdings" w:cs="Wingdings"/>
    </w:rPr>
  </w:style>
  <w:style w:type="character" w:styleId="WW8Num88z1">
    <w:name w:val="WW8Num88z1"/>
    <w:qFormat/>
    <w:rPr>
      <w:rFonts w:ascii="Courier New" w:hAnsi="Courier New" w:cs="Courier New"/>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Wingdings" w:hAnsi="Wingdings" w:cs="Wingdings"/>
    </w:rPr>
  </w:style>
  <w:style w:type="character" w:styleId="WW8Num90z1">
    <w:name w:val="WW8Num90z1"/>
    <w:qFormat/>
    <w:rPr>
      <w:rFonts w:ascii="Courier New" w:hAnsi="Courier New" w:cs="Courier New"/>
    </w:rPr>
  </w:style>
  <w:style w:type="character" w:styleId="WW8Num90z3">
    <w:name w:val="WW8Num90z3"/>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Wingdings" w:hAnsi="Wingdings" w:cs="Wingdings"/>
    </w:rPr>
  </w:style>
  <w:style w:type="character" w:styleId="WW8Num96z1">
    <w:name w:val="WW8Num96z1"/>
    <w:qFormat/>
    <w:rPr>
      <w:rFonts w:ascii="Courier New" w:hAnsi="Courier New" w:cs="Courier New"/>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rFonts w:ascii="Wingdings" w:hAnsi="Wingdings" w:cs="Wingdings"/>
    </w:rPr>
  </w:style>
  <w:style w:type="character" w:styleId="WW8Num100z1">
    <w:name w:val="WW8Num100z1"/>
    <w:qFormat/>
    <w:rPr>
      <w:rFonts w:ascii="Courier New" w:hAnsi="Courier New" w:cs="Courier New"/>
    </w:rPr>
  </w:style>
  <w:style w:type="character" w:styleId="WW8Num100z3">
    <w:name w:val="WW8Num100z3"/>
    <w:qFormat/>
    <w:rPr>
      <w:rFonts w:ascii="Symbol" w:hAnsi="Symbol" w:cs="Symbol"/>
    </w:rPr>
  </w:style>
  <w:style w:type="character" w:styleId="WW8Num101z0">
    <w:name w:val="WW8Num101z0"/>
    <w:qFormat/>
    <w:rPr>
      <w:rFonts w:ascii="Wingdings 2" w:hAnsi="Wingdings 2" w:cs="Wingdings 2"/>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2z0">
    <w:name w:val="WW8Num112z0"/>
    <w:qFormat/>
    <w:rPr>
      <w:rFonts w:ascii="Wingdings" w:hAnsi="Wingdings" w:cs="Times New Roman"/>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2z3">
    <w:name w:val="WW8Num112z3"/>
    <w:qFormat/>
    <w:rPr>
      <w:rFonts w:ascii="Symbol" w:hAnsi="Symbol" w:cs="Symbol"/>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rFonts w:ascii="Wingdings 2" w:hAnsi="Wingdings 2" w:cs="Wingdings 2"/>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GroupTemp</Template>
  <TotalTime>292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2001-05-11T16:43:00Z</dcterms:created>
  <dc:creator>Marissa C. Mariner</dc:creator>
  <dc:description/>
  <dc:language>en-CA</dc:language>
  <cp:lastModifiedBy>kholman</cp:lastModifiedBy>
  <cp:lastPrinted>2001-05-15T14:46:00Z</cp:lastPrinted>
  <dcterms:modified xsi:type="dcterms:W3CDTF">2001-05-15T17:44:00Z</dcterms:modified>
  <cp:revision>38</cp:revision>
  <dc:subject/>
  <dc:title>Duke Energy</dc:title>
</cp:coreProperties>
</file>