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708085940" r:id="rId2"/>
        </w:object>
      </w:r>
      <w:r>
        <w:rPr>
          <w:rFonts w:eastAsia="Garamond" w:cs="Garamond" w:ascii="Garamond" w:hAnsi="Garamond"/>
          <w:emboss/>
          <w:color w:val="000080"/>
          <w:sz w:val="48"/>
        </w:rPr>
        <w:t xml:space="preserve">                               </w:t>
      </w:r>
      <w:r>
        <w:rPr>
          <w:rFonts w:cs="Garamond" w:ascii="Garamond" w:hAnsi="Garamond"/>
          <w:color w:val="000080"/>
          <w:sz w:val="40"/>
        </w:rPr>
        <w:t xml:space="preserve">Enron Americas </w:t>
      </w:r>
    </w:p>
    <w:p>
      <w:pPr>
        <w:pStyle w:val="Subtitle"/>
        <w:ind w:start="5040" w:end="0"/>
        <w:jc w:val="end"/>
        <w:rPr>
          <w:rFonts w:ascii="Garamond" w:hAnsi="Garamond" w:cs="Garamond"/>
          <w:color w:val="000080"/>
          <w:sz w:val="40"/>
        </w:rPr>
      </w:pPr>
      <w:r>
        <w:rPr>
          <w:rFonts w:cs="Garamond" w:ascii="Garamond" w:hAnsi="Garamond"/>
          <w:color w:val="000080"/>
          <w:sz w:val="40"/>
        </w:rPr>
        <w:t>Competitive Analysis</w:t>
      </w:r>
    </w:p>
    <w:p>
      <w:pPr>
        <w:pStyle w:val="Subtitle"/>
        <w:ind w:start="5040" w:end="0"/>
        <w:jc w:val="end"/>
        <w:rPr>
          <w:rFonts w:ascii="Garamond" w:hAnsi="Garamond" w:eastAsia="Garamond" w:cs="Garamond"/>
          <w:color w:val="000080"/>
          <w:sz w:val="40"/>
        </w:rPr>
      </w:pPr>
      <w:r>
        <w:rPr>
          <w:rFonts w:eastAsia="Garamond" w:cs="Garamond" w:ascii="Garamond" w:hAnsi="Garamond"/>
          <w:color w:val="000080"/>
          <w:sz w:val="40"/>
        </w:rPr>
        <w:t xml:space="preserve"> </w:t>
      </w:r>
    </w:p>
    <w:p>
      <w:pPr>
        <w:pStyle w:val="Subtitle"/>
        <w:jc w:val="start"/>
        <w:rPr>
          <w:rFonts w:ascii="Garamond" w:hAnsi="Garamond" w:cs="Garamond"/>
          <w:color w:val="000080"/>
          <w:sz w:val="28"/>
        </w:rPr>
      </w:pPr>
      <w:r>
        <w:rPr>
          <w:rFonts w:cs="Garamond" w:ascii="Garamond" w:hAnsi="Garamond"/>
          <w:color w:val="000080"/>
          <w:sz w:val="28"/>
        </w:rPr>
      </w:r>
    </w:p>
    <w:p>
      <w:pPr>
        <w:pStyle w:val="Subtitle"/>
        <w:jc w:val="start"/>
        <w:rPr>
          <w:rFonts w:ascii="Garamond" w:hAnsi="Garamond" w:cs="Garamond"/>
          <w:color w:val="000080"/>
          <w:sz w:val="28"/>
        </w:rPr>
      </w:pPr>
      <w:r>
        <w:rPr>
          <w:rFonts w:cs="Garamond" w:ascii="Garamond" w:hAnsi="Garamond"/>
          <w:color w:val="000080"/>
          <w:sz w:val="28"/>
        </w:rPr>
      </w:r>
    </w:p>
    <w:p>
      <w:pPr>
        <w:pStyle w:val="BodyText2"/>
        <w:tabs>
          <w:tab w:val="left" w:pos="720" w:leader="none"/>
        </w:tabs>
        <w:rPr>
          <w:sz w:val="24"/>
        </w:rPr>
      </w:pPr>
      <w:r>
        <w:rPr>
          <w:sz w:val="24"/>
        </w:rPr>
        <w:t>To:</w:t>
        <w:tab/>
        <w:t>Kevin Presto</w:t>
      </w:r>
    </w:p>
    <w:p>
      <w:pPr>
        <w:pStyle w:val="BodyText2"/>
        <w:tabs>
          <w:tab w:val="left" w:pos="720" w:leader="none"/>
        </w:tabs>
        <w:rPr>
          <w:sz w:val="24"/>
        </w:rPr>
      </w:pPr>
      <w:r>
        <w:rPr>
          <w:sz w:val="24"/>
        </w:rPr>
        <w:t>Cc:</w:t>
        <w:tab/>
        <w:t>Lloyd Will</w:t>
      </w:r>
    </w:p>
    <w:p>
      <w:pPr>
        <w:pStyle w:val="BodyText2"/>
        <w:tabs>
          <w:tab w:val="left" w:pos="720" w:leader="none"/>
        </w:tabs>
        <w:rPr>
          <w:sz w:val="24"/>
        </w:rPr>
      </w:pPr>
      <w:r>
        <w:rPr>
          <w:sz w:val="24"/>
        </w:rPr>
        <w:t>From:</w:t>
        <w:tab/>
        <w:t>Kristin Walsh and Kelly Holman</w:t>
      </w:r>
    </w:p>
    <w:p>
      <w:pPr>
        <w:pStyle w:val="BodyText2"/>
        <w:tabs>
          <w:tab w:val="left" w:pos="720" w:leader="none"/>
        </w:tabs>
        <w:rPr>
          <w:sz w:val="24"/>
        </w:rPr>
      </w:pPr>
      <w:r>
        <w:rPr>
          <w:sz w:val="24"/>
        </w:rPr>
        <w:t xml:space="preserve">Date: </w:t>
        <w:tab/>
        <w:t>April 27, 2001</w:t>
      </w:r>
    </w:p>
    <w:p>
      <w:pPr>
        <w:pStyle w:val="BodyText2"/>
        <w:pBdr>
          <w:bottom w:val="single" w:sz="12" w:space="1" w:color="000000"/>
        </w:pBdr>
        <w:tabs>
          <w:tab w:val="left" w:pos="720" w:leader="none"/>
        </w:tabs>
        <w:rPr>
          <w:sz w:val="24"/>
        </w:rPr>
      </w:pPr>
      <w:r>
        <w:rPr>
          <w:sz w:val="24"/>
        </w:rPr>
        <w:t>Re:</w:t>
        <w:tab/>
        <w:t>UPDATE 1: New Generation Project</w:t>
      </w:r>
    </w:p>
    <w:p>
      <w:pPr>
        <w:pStyle w:val="BodyText2"/>
        <w:pBdr>
          <w:bottom w:val="single" w:sz="12" w:space="1" w:color="000000"/>
        </w:pBdr>
        <w:tabs>
          <w:tab w:val="left" w:pos="720" w:leader="none"/>
        </w:tabs>
        <w:rPr>
          <w:sz w:val="8"/>
        </w:rPr>
      </w:pPr>
      <w:r>
        <w:rPr>
          <w:sz w:val="8"/>
        </w:rPr>
      </w:r>
    </w:p>
    <w:p>
      <w:pPr>
        <w:pStyle w:val="BodyText2"/>
        <w:tabs>
          <w:tab w:val="left" w:pos="720" w:leader="none"/>
        </w:tabs>
        <w:jc w:val="both"/>
        <w:rPr>
          <w:b/>
          <w:bCs/>
          <w:sz w:val="4"/>
        </w:rPr>
      </w:pPr>
      <w:r>
        <w:rPr>
          <w:b/>
          <w:bCs/>
          <w:sz w:val="4"/>
        </w:rPr>
      </w:r>
    </w:p>
    <w:p>
      <w:pPr>
        <w:pStyle w:val="BodyText2"/>
        <w:tabs>
          <w:tab w:val="left" w:pos="720" w:leader="none"/>
        </w:tabs>
        <w:jc w:val="both"/>
        <w:rPr>
          <w:sz w:val="24"/>
        </w:rPr>
      </w:pPr>
      <w:r>
        <w:rPr>
          <w:sz w:val="24"/>
        </w:rPr>
        <w:t>Below is a summary of the current situation regarding the New Generation project.  If you have any questions, please feel free to contact me directly (x39510) or Kelly Holman (x39844).</w:t>
      </w:r>
    </w:p>
    <w:p>
      <w:pPr>
        <w:pStyle w:val="BodyText2"/>
        <w:tabs>
          <w:tab w:val="left" w:pos="720" w:leader="none"/>
        </w:tabs>
        <w:jc w:val="both"/>
        <w:rPr>
          <w:b/>
          <w:bCs/>
          <w:sz w:val="24"/>
        </w:rPr>
      </w:pPr>
      <w:r>
        <w:rPr>
          <w:b/>
          <w:bCs/>
          <w:sz w:val="24"/>
        </w:rPr>
      </w:r>
    </w:p>
    <w:p>
      <w:pPr>
        <w:pStyle w:val="BodyText2"/>
        <w:tabs>
          <w:tab w:val="left" w:pos="720" w:leader="none"/>
        </w:tabs>
        <w:jc w:val="both"/>
        <w:rPr>
          <w:b/>
          <w:bCs/>
          <w:sz w:val="24"/>
        </w:rPr>
      </w:pPr>
      <w:r>
        <w:rPr>
          <w:b/>
          <w:bCs/>
          <w:sz w:val="24"/>
        </w:rPr>
        <w:t xml:space="preserve">Mississippi Power </w:t>
      </w:r>
    </w:p>
    <w:p>
      <w:pPr>
        <w:pStyle w:val="BodyText2"/>
        <w:tabs>
          <w:tab w:val="left" w:pos="720" w:leader="none"/>
        </w:tabs>
        <w:jc w:val="both"/>
        <w:rPr>
          <w:b/>
          <w:bCs/>
          <w:i/>
          <w:i/>
          <w:iCs/>
          <w:sz w:val="24"/>
        </w:rPr>
      </w:pPr>
      <w:r>
        <w:rPr>
          <w:b/>
          <w:bCs/>
          <w:i/>
          <w:iCs/>
          <w:sz w:val="24"/>
        </w:rPr>
        <w:tab/>
        <w:t>Daniel/Escatawpa</w:t>
      </w:r>
    </w:p>
    <w:p>
      <w:pPr>
        <w:pStyle w:val="BodyText3"/>
        <w:autoSpaceDE w:val="false"/>
        <w:spacing w:lineRule="auto" w:line="240"/>
        <w:rPr>
          <w:b/>
          <w:bCs/>
          <w:i/>
          <w:i/>
          <w:iCs/>
          <w:sz w:val="24"/>
        </w:rPr>
      </w:pPr>
      <w:r>
        <w:rPr>
          <w:b/>
          <w:bCs/>
          <w:i/>
          <w:iCs/>
          <w:sz w:val="24"/>
        </w:rPr>
      </w:r>
    </w:p>
    <w:p>
      <w:pPr>
        <w:pStyle w:val="BodyText3"/>
        <w:numPr>
          <w:ilvl w:val="0"/>
          <w:numId w:val="2"/>
        </w:numPr>
        <w:autoSpaceDE w:val="false"/>
        <w:spacing w:lineRule="auto" w:line="240"/>
        <w:ind w:hanging="378" w:start="450" w:end="0"/>
        <w:jc w:val="both"/>
        <w:rPr/>
      </w:pPr>
      <w:r>
        <w:rPr/>
        <w:t>The Daniel plant is adding two 532-MW units to the existing base load capacity.  Unit 1 has had its last checks, inspections and testing and is currently operating commercially.  Unit 2 is expected to be ready for commercial operation and generating power on May 1</w:t>
      </w:r>
      <w:r>
        <w:rPr>
          <w:vertAlign w:val="superscript"/>
        </w:rPr>
        <w:t>st</w:t>
      </w:r>
      <w:r>
        <w:rPr/>
        <w:t xml:space="preserve"> .  Our source indicates that Mississippi Power will not </w:t>
      </w:r>
      <w:r>
        <w:rPr>
          <w:i/>
          <w:iCs/>
          <w:u w:val="single"/>
        </w:rPr>
        <w:t>officially</w:t>
      </w:r>
      <w:r>
        <w:rPr/>
        <w:t xml:space="preserve"> announce the commercial availability of both units until June 1. </w:t>
      </w:r>
    </w:p>
    <w:p>
      <w:pPr>
        <w:pStyle w:val="BodyText3"/>
        <w:autoSpaceDE w:val="false"/>
        <w:spacing w:lineRule="auto" w:line="240"/>
        <w:ind w:start="18" w:end="0"/>
        <w:rPr>
          <w:sz w:val="16"/>
        </w:rPr>
      </w:pPr>
      <w:r>
        <w:rPr>
          <w:sz w:val="16"/>
        </w:rPr>
      </w:r>
    </w:p>
    <w:p>
      <w:pPr>
        <w:pStyle w:val="Normal"/>
        <w:numPr>
          <w:ilvl w:val="0"/>
          <w:numId w:val="2"/>
        </w:numPr>
        <w:autoSpaceDE w:val="false"/>
        <w:spacing w:lineRule="atLeast" w:line="240"/>
        <w:ind w:hanging="378" w:start="450" w:end="0"/>
        <w:rPr>
          <w:color w:val="000000"/>
          <w:sz w:val="24"/>
        </w:rPr>
      </w:pPr>
      <w:r>
        <w:rPr>
          <w:sz w:val="24"/>
        </w:rPr>
        <w:t xml:space="preserve">Mississippi Power anticipates surplus power will be generated from these units and has to date, sold power into the wholesale market.  The company has entered into a long-term contract to sell the excess power </w:t>
      </w:r>
      <w:r>
        <w:rPr>
          <w:color w:val="000000"/>
          <w:sz w:val="24"/>
        </w:rPr>
        <w:t>and the source suggested that this would be to the sister companies.  According to a source within the company, “250 MW have been sold wholesale.  I am not sure of the length of the contract but I think it is 10 years.  Up till now Southern Company has been transmitting power from our sister companies, including Alabama Power, and also the last several years we've been doing wholesale purchases ourselves. These two new units take care of us for the next few years</w:t>
      </w:r>
    </w:p>
    <w:p>
      <w:pPr>
        <w:pStyle w:val="Normal"/>
        <w:autoSpaceDE w:val="false"/>
        <w:ind w:start="90" w:end="0"/>
        <w:rPr>
          <w:color w:val="000000"/>
          <w:sz w:val="24"/>
        </w:rPr>
      </w:pPr>
      <w:r>
        <w:rPr>
          <w:color w:val="000000"/>
          <w:sz w:val="24"/>
        </w:rPr>
      </w:r>
    </w:p>
    <w:sectPr>
      <w:headerReference w:type="default" r:id="rId4"/>
      <w:type w:val="nextPage"/>
      <w:pgSz w:w="12240" w:h="15840"/>
      <w:pgMar w:left="1008" w:right="1008" w:gutter="0" w:header="576"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Wingdings 2">
    <w:charset w:val="0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144" w:hanging="72"/>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style>
  <w:style w:type="character" w:styleId="WW8Num11z0">
    <w:name w:val="WW8Num11z0"/>
    <w:qFormat/>
    <w:rPr>
      <w:rFonts w:ascii="Times New Roman" w:hAnsi="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auto"/>
      <w:sz w:val="28"/>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2" w:hAnsi="Wingdings 2" w:cs="Wingdings 2"/>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2" w:hAnsi="Wingdings 2" w:cs="Wingdings 2"/>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Wingdings 2" w:hAnsi="Wingdings 2" w:cs="Wingdings 2"/>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Times New Roman" w:hAnsi="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rPr>
  </w:style>
  <w:style w:type="character" w:styleId="WW8Num32z0">
    <w:name w:val="WW8Num32z0"/>
    <w:qFormat/>
    <w:rPr>
      <w:rFonts w:ascii="Wingdings" w:hAnsi="Wingdings"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sz w:val="16"/>
    </w:rPr>
  </w:style>
  <w:style w:type="character" w:styleId="WW8Num41z0">
    <w:name w:val="WW8Num41z0"/>
    <w:qFormat/>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Wingdings" w:hAnsi="Wingdings" w:cs="Times New Roman"/>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color w:val="auto"/>
      <w:sz w:val="28"/>
    </w:rPr>
  </w:style>
  <w:style w:type="character" w:styleId="WW8Num65z0">
    <w:name w:val="WW8Num65z0"/>
    <w:qFormat/>
    <w:rPr>
      <w:rFonts w:ascii="Symbol" w:hAnsi="Symbol" w:cs="Symbol"/>
    </w:rPr>
  </w:style>
  <w:style w:type="character" w:styleId="WW8Num66z0">
    <w:name w:val="WW8Num66z0"/>
    <w:qFormat/>
    <w:rPr>
      <w:rFonts w:ascii="Wingdings" w:hAnsi="Wingdings" w:cs="Wingdings"/>
      <w:sz w:val="16"/>
    </w:rPr>
  </w:style>
  <w:style w:type="character" w:styleId="WW8Num67z0">
    <w:name w:val="WW8Num67z0"/>
    <w:qFormat/>
    <w:rPr/>
  </w:style>
  <w:style w:type="character" w:styleId="WW8Num68z0">
    <w:name w:val="WW8Num68z0"/>
    <w:qFormat/>
    <w:rPr/>
  </w:style>
  <w:style w:type="character" w:styleId="WW8Num69z0">
    <w:name w:val="WW8Num69z0"/>
    <w:qFormat/>
    <w:rPr>
      <w:rFonts w:ascii="Symbol" w:hAnsi="Symbol" w:cs="Symbol"/>
      <w:color w:val="auto"/>
      <w:sz w:val="28"/>
    </w:rPr>
  </w:style>
  <w:style w:type="character" w:styleId="WW8Num70z0">
    <w:name w:val="WW8Num70z0"/>
    <w:qFormat/>
    <w:rPr/>
  </w:style>
  <w:style w:type="character" w:styleId="WW8Num71z0">
    <w:name w:val="WW8Num71z0"/>
    <w:qFormat/>
    <w:rPr>
      <w:b/>
      <w:i/>
    </w:rPr>
  </w:style>
  <w:style w:type="character" w:styleId="WW8Num72z0">
    <w:name w:val="WW8Num72z0"/>
    <w:qFormat/>
    <w:rPr>
      <w:rFonts w:ascii="Symbol" w:hAnsi="Symbol" w:cs="Symbol"/>
    </w:rPr>
  </w:style>
  <w:style w:type="character" w:styleId="WW8Num73z0">
    <w:name w:val="WW8Num73z0"/>
    <w:qFormat/>
    <w:rPr>
      <w:rFonts w:ascii="Symbol" w:hAnsi="Symbol" w:cs="Symbol"/>
      <w:color w:val="auto"/>
      <w:sz w:val="28"/>
    </w:rPr>
  </w:style>
  <w:style w:type="character" w:styleId="WW8Num74z0">
    <w:name w:val="WW8Num74z0"/>
    <w:qFormat/>
    <w:rPr>
      <w:rFonts w:ascii="Wingdings" w:hAnsi="Wingdings" w:cs="Wingdings"/>
      <w:color w:val="000000"/>
      <w:sz w:val="16"/>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Times New Roman" w:hAnsi="Times New Roman" w:cs="Times New Roman"/>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Wingdings" w:hAnsi="Wingdings" w:cs="Wingdings"/>
    </w:rPr>
  </w:style>
  <w:style w:type="character" w:styleId="WW8Num95z1">
    <w:name w:val="WW8Num95z1"/>
    <w:qFormat/>
    <w:rPr>
      <w:rFonts w:ascii="Courier New" w:hAnsi="Courier New" w:cs="Courier New"/>
    </w:rPr>
  </w:style>
  <w:style w:type="character" w:styleId="WW8Num95z3">
    <w:name w:val="WW8Num95z3"/>
    <w:qFormat/>
    <w:rPr>
      <w:rFonts w:ascii="Symbol" w:hAnsi="Symbol" w:cs="Symbol"/>
    </w:rPr>
  </w:style>
  <w:style w:type="character" w:styleId="WW8Num96z0">
    <w:name w:val="WW8Num96z0"/>
    <w:qFormat/>
    <w:rPr>
      <w:rFonts w:ascii="Wingdings 2" w:hAnsi="Wingdings 2" w:cs="Wingdings 2"/>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style>
  <w:style w:type="character" w:styleId="WW8Num107z0">
    <w:name w:val="WW8Num107z0"/>
    <w:qFormat/>
    <w:rPr>
      <w:rFonts w:ascii="Wingdings" w:hAnsi="Wingdings" w:cs="Times New Roman"/>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Wingdings 2" w:hAnsi="Wingdings 2" w:cs="Wingdings 2"/>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GroupTemp</Template>
  <TotalTime>240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2001-04-27T13:51:00Z</dcterms:created>
  <dc:creator>Marissa C. Mariner</dc:creator>
  <dc:description/>
  <dc:language>en-CA</dc:language>
  <cp:lastModifiedBy>kholman</cp:lastModifiedBy>
  <cp:lastPrinted>2001-04-27T14:49:00Z</cp:lastPrinted>
  <dcterms:modified xsi:type="dcterms:W3CDTF">2001-04-27T17:56:00Z</dcterms:modified>
  <cp:revision>27</cp:revision>
  <dc:subject/>
  <dc:title>Duke Energy</dc:title>
</cp:coreProperties>
</file>