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9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870"/>
        <w:gridCol w:w="3510"/>
        <w:gridCol w:w="333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Management for Existing Transactions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Support Developing Transactions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Opening and Enhancing New Markets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Government Affairs Organizations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 ECAR/MAPP/ MAIN Activities including Enron control area operator issue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Ohio electric legislative and implementation proceedings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Leveraging gas assets for ECAR peakers for ENA and the market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Product sales power, plant development for EES, ENA, and Clinton Energy, etc.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Michigan legislation / implementation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Illinois implementation proceedings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Missouri legislation/ implementation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Ohio gas regulatory issues to open market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Iowa legislation implementation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Refunctionalization issue in Wisconsin, Minnesota, Illinois, Ohio, and other ECAR/MAPP/ MAIN states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1999-11-04T19:29:00Z</dcterms:created>
  <dc:creator>lknight</dc:creator>
  <dc:description/>
  <dc:language>en-CA</dc:language>
  <cp:lastModifiedBy>lknight</cp:lastModifiedBy>
  <cp:lastPrinted>1999-11-04T17:12:00Z</cp:lastPrinted>
  <dcterms:modified xsi:type="dcterms:W3CDTF">1999-11-04T19:53:00Z</dcterms:modified>
  <cp:revision>3</cp:revision>
  <dc:subject/>
  <dc:title>Risk Management for Existing Transactions</dc:title>
</cp:coreProperties>
</file>