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EnronOnline Confidentiality Agreement (Bilateral)</w:t>
      </w:r>
    </w:p>
    <w:p>
      <w:pPr>
        <w:pStyle w:val="Normal"/>
        <w:jc w:val="end"/>
        <w:rPr>
          <w:rFonts w:ascii="Times New Roman" w:hAnsi="Times New Roman" w:cs="Times New Roman"/>
          <w:sz w:val="22"/>
        </w:rPr>
      </w:pPr>
      <w:r>
        <w:rPr>
          <w:rFonts w:cs="Times New Roman" w:ascii="Times New Roman" w:hAnsi="Times New Roman"/>
          <w:sz w:val="22"/>
        </w:rPr>
        <w:t>Draft of 11/29/00</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___________________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/mnt/main-storage/datasets/enron-docs/doc/unbound_technologies-3397811c4e326ff8579fd2212729e0e2a9e41cefae6c0da9286fa6afef2b488b.doc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2001-03-01T18:24:00Z</dcterms:created>
  <dc:creator>ECT</dc:creator>
  <dc:description/>
  <dc:language>en-CA</dc:language>
  <cp:lastModifiedBy>tjones</cp:lastModifiedBy>
  <cp:lastPrinted>2000-11-30T13:41:00Z</cp:lastPrinted>
  <dcterms:modified xsi:type="dcterms:W3CDTF">2001-03-01T18:24:00Z</dcterms:modified>
  <cp:revision>2</cp:revision>
  <dc:subject/>
  <dc:title>Reciprocal Confidentiality Agreement</dc:title>
</cp:coreProperties>
</file>