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Uniform Business Practices CEO Task Force</w:t>
      </w:r>
    </w:p>
    <w:p>
      <w:pPr>
        <w:pStyle w:val="Normal"/>
        <w:jc w:val="center"/>
        <w:rPr>
          <w:sz w:val="24"/>
        </w:rPr>
      </w:pPr>
      <w:r>
        <w:rPr>
          <w:b/>
          <w:sz w:val="24"/>
        </w:rPr>
        <w:t>Meeting Results 5/17/00</w:t>
      </w:r>
    </w:p>
    <w:p>
      <w:pPr>
        <w:pStyle w:val="Normal"/>
        <w:rPr>
          <w:sz w:val="24"/>
        </w:rPr>
      </w:pPr>
      <w:r>
        <w:rPr>
          <w:sz w:val="24"/>
        </w:rPr>
      </w:r>
    </w:p>
    <w:p>
      <w:pPr>
        <w:pStyle w:val="Normal"/>
        <w:rPr>
          <w:sz w:val="24"/>
        </w:rPr>
      </w:pPr>
      <w:r>
        <w:rPr>
          <w:sz w:val="24"/>
        </w:rPr>
        <w:t xml:space="preserve">Following is a summary of the Houston Task Force Meeting.  </w:t>
      </w:r>
    </w:p>
    <w:p>
      <w:pPr>
        <w:pStyle w:val="Normal"/>
        <w:rPr>
          <w:sz w:val="24"/>
        </w:rPr>
      </w:pPr>
      <w:r>
        <w:rPr>
          <w:sz w:val="24"/>
        </w:rPr>
      </w:r>
    </w:p>
    <w:p>
      <w:pPr>
        <w:pStyle w:val="BodyText"/>
        <w:rPr/>
      </w:pPr>
      <w:r>
        <w:rPr/>
        <w:t>Participants: John Derrick (PEPCo), Myron McKinney (Empire District). Bill Davis (NIMO), Waters Davis (Reliant), Stan Horton (Enron Pipelines, Chairman GISB), Steve Bergstrom (Dynegy, GISB Board), Jim Templeton &amp; Jim Buccigross (GISB Board), Mike McGrath (EEI)</w:t>
      </w:r>
    </w:p>
    <w:p>
      <w:pPr>
        <w:pStyle w:val="BodyText"/>
        <w:rPr/>
      </w:pPr>
      <w:r>
        <w:rPr/>
      </w:r>
    </w:p>
    <w:p>
      <w:pPr>
        <w:pStyle w:val="BodyText"/>
        <w:rPr>
          <w:b/>
        </w:rPr>
      </w:pPr>
      <w:r>
        <w:rPr>
          <w:b/>
        </w:rPr>
        <w:t>Meeting with GISB</w:t>
      </w:r>
    </w:p>
    <w:p>
      <w:pPr>
        <w:pStyle w:val="BodyText"/>
        <w:rPr>
          <w:b/>
        </w:rPr>
      </w:pPr>
      <w:r>
        <w:rPr>
          <w:b/>
        </w:rPr>
      </w:r>
    </w:p>
    <w:p>
      <w:pPr>
        <w:pStyle w:val="BodyText"/>
        <w:numPr>
          <w:ilvl w:val="0"/>
          <w:numId w:val="2"/>
        </w:numPr>
        <w:rPr/>
      </w:pPr>
      <w:r>
        <w:rPr/>
        <w:t>Meeting opened with discussion of wholesale and retail gas and electric markets; centering on problems that can be helped with uniform practices, gas industry experiences, and similarities and differences between gas and electric, wholesale and retail markets.  A key similarity includes the eventual convergence of gas and electric markets and customer demand for business efficiency.  Key differences include structure, physics, operations, and reliability emphasis.</w:t>
      </w:r>
    </w:p>
    <w:p>
      <w:pPr>
        <w:pStyle w:val="BodyText"/>
        <w:numPr>
          <w:ilvl w:val="0"/>
          <w:numId w:val="2"/>
        </w:numPr>
        <w:rPr/>
      </w:pPr>
      <w:r>
        <w:rPr/>
        <w:t>All agreed uniform practices could be a win-win with net benefits for all participants and customers.  The question is how to get there.  All agreed “getting there” requires broad support from all key stakeholders.  GISB has no interest in producing electric standards if not supported by the electric industry.  GISB Board may not approve development of electric standards at their June Board meeting.</w:t>
      </w:r>
    </w:p>
    <w:p>
      <w:pPr>
        <w:pStyle w:val="BodyText"/>
        <w:numPr>
          <w:ilvl w:val="0"/>
          <w:numId w:val="2"/>
        </w:numPr>
        <w:rPr/>
      </w:pPr>
      <w:r>
        <w:rPr/>
        <w:t>GISB members presented an outline of an “Energy Industry Standards Board” or EISB approach.  Copy is attached.  There was general agreement with the overall approach providing there is no situation where electric wholesale decisions are made by the gas wholesale industry, retail decisions are made by wholesale players, and vice versa.</w:t>
      </w:r>
    </w:p>
    <w:p>
      <w:pPr>
        <w:pStyle w:val="BodyText"/>
        <w:numPr>
          <w:ilvl w:val="0"/>
          <w:numId w:val="2"/>
        </w:numPr>
        <w:rPr/>
      </w:pPr>
      <w:r>
        <w:rPr/>
        <w:t xml:space="preserve">GISB members proposed:  </w:t>
      </w:r>
    </w:p>
    <w:p>
      <w:pPr>
        <w:pStyle w:val="BodyText"/>
        <w:ind w:start="360" w:end="0"/>
        <w:rPr/>
      </w:pPr>
      <w:r>
        <w:rPr/>
        <w:t>GISB Offers to put together a team to work with representatives of EEI’s Board (e.g., UBP CEO Task Force) to identify an acceptable organizational solution to development of wholesale and retail business practices.  Such a solution will consider all options, and is not limited to the EISB approach.</w:t>
      </w:r>
    </w:p>
    <w:p>
      <w:pPr>
        <w:pStyle w:val="BodyText"/>
        <w:ind w:start="360" w:end="0"/>
        <w:rPr/>
      </w:pPr>
      <w:r>
        <w:rPr/>
      </w:r>
    </w:p>
    <w:p>
      <w:pPr>
        <w:pStyle w:val="BodyText"/>
        <w:rPr>
          <w:b/>
        </w:rPr>
      </w:pPr>
      <w:r>
        <w:rPr>
          <w:b/>
        </w:rPr>
        <w:t>UBP Task Force Meeting – Closed Session</w:t>
      </w:r>
    </w:p>
    <w:p>
      <w:pPr>
        <w:pStyle w:val="BodyText"/>
        <w:rPr>
          <w:b/>
        </w:rPr>
      </w:pPr>
      <w:r>
        <w:rPr>
          <w:b/>
        </w:rPr>
      </w:r>
    </w:p>
    <w:p>
      <w:pPr>
        <w:pStyle w:val="BodyText"/>
        <w:numPr>
          <w:ilvl w:val="0"/>
          <w:numId w:val="12"/>
        </w:numPr>
        <w:rPr/>
      </w:pPr>
      <w:r>
        <w:rPr/>
        <w:t>Reaction to GISB proposal is favorable.  Those present recommend acceptance by the Task Force and the EEI Board.</w:t>
      </w:r>
    </w:p>
    <w:p>
      <w:pPr>
        <w:pStyle w:val="BodyText"/>
        <w:numPr>
          <w:ilvl w:val="0"/>
          <w:numId w:val="12"/>
        </w:numPr>
        <w:rPr/>
      </w:pPr>
      <w:r>
        <w:rPr/>
        <w:t>Task Force agrees EEI/CUBR Retail UBP effort needs eventual “independence”, and cannot be thought of as an EEI or CUBR owned product.  Such perception would damage its credibility in the long run by association with advocacy.</w:t>
      </w:r>
    </w:p>
    <w:p>
      <w:pPr>
        <w:pStyle w:val="BodyText"/>
        <w:numPr>
          <w:ilvl w:val="0"/>
          <w:numId w:val="12"/>
        </w:numPr>
        <w:rPr/>
      </w:pPr>
      <w:r>
        <w:rPr/>
        <w:t>The Task Force emphasized the EEI/CUBR Retail UBP effort must continue to its final conclusion – a final report by year-end.</w:t>
      </w:r>
    </w:p>
    <w:p>
      <w:pPr>
        <w:pStyle w:val="BodyText"/>
        <w:numPr>
          <w:ilvl w:val="0"/>
          <w:numId w:val="12"/>
        </w:numPr>
        <w:rPr/>
      </w:pPr>
      <w:r>
        <w:rPr/>
        <w:t>The Task Force discussed the “Draft Principles” document.  All agreed to delete items on cost recovery (because it is a policy matter), and item concerning identification of primary stakeholders (because that would be negotiated and is redundant with another item).  Revised copy attached.</w:t>
      </w:r>
    </w:p>
    <w:p>
      <w:pPr>
        <w:pStyle w:val="BodyText"/>
        <w:rPr/>
      </w:pPr>
      <w:r>
        <w:rPr/>
      </w:r>
    </w:p>
    <w:p>
      <w:pPr>
        <w:pStyle w:val="BodyText"/>
        <w:rPr>
          <w:b/>
        </w:rPr>
      </w:pPr>
      <w:r>
        <w:rPr>
          <w:b/>
        </w:rPr>
        <w:t>Action Items:</w:t>
      </w:r>
    </w:p>
    <w:p>
      <w:pPr>
        <w:pStyle w:val="BodyText"/>
        <w:numPr>
          <w:ilvl w:val="0"/>
          <w:numId w:val="18"/>
        </w:numPr>
        <w:rPr/>
      </w:pPr>
      <w:r>
        <w:rPr/>
        <w:t>Mike McGrath to summarize meeting and get to Task Force ASAP.</w:t>
      </w:r>
    </w:p>
    <w:p>
      <w:pPr>
        <w:pStyle w:val="BodyText"/>
        <w:numPr>
          <w:ilvl w:val="0"/>
          <w:numId w:val="10"/>
        </w:numPr>
        <w:rPr/>
      </w:pPr>
      <w:r>
        <w:rPr/>
        <w:t>Waters Davis to shop revised “Principles” with GISB, seeking concurrence.</w:t>
      </w:r>
    </w:p>
    <w:p>
      <w:pPr>
        <w:pStyle w:val="BodyText"/>
        <w:numPr>
          <w:ilvl w:val="0"/>
          <w:numId w:val="10"/>
        </w:numPr>
        <w:rPr/>
      </w:pPr>
      <w:r>
        <w:rPr/>
        <w:t>Bill Davis to give report to EEI Board (McGrath to draft)</w:t>
      </w:r>
    </w:p>
    <w:p>
      <w:pPr>
        <w:pStyle w:val="BodyText"/>
        <w:numPr>
          <w:ilvl w:val="0"/>
          <w:numId w:val="9"/>
        </w:numPr>
        <w:rPr/>
      </w:pPr>
      <w:r>
        <w:rPr/>
        <w:t>Results of GISB Meeting</w:t>
      </w:r>
    </w:p>
    <w:p>
      <w:pPr>
        <w:pStyle w:val="BodyText"/>
        <w:numPr>
          <w:ilvl w:val="0"/>
          <w:numId w:val="9"/>
        </w:numPr>
        <w:rPr/>
      </w:pPr>
      <w:r>
        <w:rPr/>
        <w:t>Ask for review and approval of “Principles”</w:t>
      </w:r>
    </w:p>
    <w:p>
      <w:pPr>
        <w:pStyle w:val="BodyText"/>
        <w:numPr>
          <w:ilvl w:val="0"/>
          <w:numId w:val="9"/>
        </w:numPr>
        <w:rPr/>
      </w:pPr>
      <w:r>
        <w:rPr/>
        <w:t>Seek Board approval for continued interaction with GISB</w:t>
      </w:r>
      <w:r>
        <w:br w:type="page"/>
      </w:r>
    </w:p>
    <w:p>
      <w:pPr>
        <w:pStyle w:val="Heading1"/>
        <w:ind w:hanging="0" w:start="0"/>
        <w:jc w:val="center"/>
        <w:rPr>
          <w:b/>
        </w:rPr>
      </w:pPr>
      <w:r>
        <w:rPr>
          <w:b/>
        </w:rPr>
        <w:t>Draft Principles</w:t>
      </w:r>
    </w:p>
    <w:p>
      <w:pPr>
        <w:pStyle w:val="Normal"/>
        <w:jc w:val="center"/>
        <w:rPr>
          <w:b/>
          <w:sz w:val="24"/>
        </w:rPr>
      </w:pPr>
      <w:r>
        <w:rPr>
          <w:b/>
          <w:sz w:val="24"/>
        </w:rPr>
        <w:t>Uniform Business Practices</w:t>
      </w:r>
    </w:p>
    <w:p>
      <w:pPr>
        <w:pStyle w:val="Normal"/>
        <w:jc w:val="center"/>
        <w:rPr>
          <w:b/>
          <w:sz w:val="24"/>
        </w:rPr>
      </w:pPr>
      <w:r>
        <w:rPr>
          <w:b/>
          <w:sz w:val="24"/>
        </w:rPr>
        <w:t>5/17/00</w:t>
      </w:r>
    </w:p>
    <w:p>
      <w:pPr>
        <w:pStyle w:val="Normal"/>
        <w:rPr>
          <w:b/>
          <w:sz w:val="24"/>
        </w:rPr>
      </w:pPr>
      <w:r>
        <w:rPr>
          <w:b/>
          <w:sz w:val="24"/>
        </w:rPr>
      </w:r>
    </w:p>
    <w:p>
      <w:pPr>
        <w:pStyle w:val="Normal"/>
        <w:rPr>
          <w:sz w:val="24"/>
        </w:rPr>
      </w:pPr>
      <w:r>
        <w:rPr>
          <w:sz w:val="24"/>
        </w:rPr>
      </w:r>
    </w:p>
    <w:p>
      <w:pPr>
        <w:pStyle w:val="Heading2"/>
        <w:ind w:hanging="0" w:start="0"/>
        <w:rPr/>
      </w:pPr>
      <w:r>
        <w:rPr/>
        <w:t>Commitment</w:t>
      </w:r>
    </w:p>
    <w:p>
      <w:pPr>
        <w:pStyle w:val="Normal"/>
        <w:numPr>
          <w:ilvl w:val="0"/>
          <w:numId w:val="7"/>
        </w:numPr>
        <w:rPr>
          <w:sz w:val="24"/>
        </w:rPr>
      </w:pPr>
      <w:r>
        <w:rPr>
          <w:sz w:val="24"/>
        </w:rPr>
        <w:t>We are committed to developing consensus retail and wholesale uniform business practices that reduce the cost and improve efficiency of doing business for all market participants.</w:t>
      </w:r>
    </w:p>
    <w:p>
      <w:pPr>
        <w:pStyle w:val="Normal"/>
        <w:rPr>
          <w:sz w:val="24"/>
        </w:rPr>
      </w:pPr>
      <w:r>
        <w:rPr>
          <w:sz w:val="24"/>
        </w:rPr>
      </w:r>
    </w:p>
    <w:p>
      <w:pPr>
        <w:pStyle w:val="Heading2"/>
        <w:ind w:hanging="0" w:start="0"/>
        <w:rPr/>
      </w:pPr>
      <w:r>
        <w:rPr/>
        <w:t>Reliability</w:t>
      </w:r>
    </w:p>
    <w:p>
      <w:pPr>
        <w:pStyle w:val="Normal"/>
        <w:numPr>
          <w:ilvl w:val="0"/>
          <w:numId w:val="13"/>
        </w:numPr>
        <w:rPr>
          <w:sz w:val="24"/>
        </w:rPr>
      </w:pPr>
      <w:r>
        <w:rPr>
          <w:sz w:val="24"/>
        </w:rPr>
        <w:t>Development of uniform business practices must not interfere with or have any negative impacts upon the reliability of supply, transmission, or delivery.</w:t>
      </w:r>
    </w:p>
    <w:p>
      <w:pPr>
        <w:pStyle w:val="Normal"/>
        <w:rPr>
          <w:sz w:val="24"/>
        </w:rPr>
      </w:pPr>
      <w:r>
        <w:rPr>
          <w:sz w:val="24"/>
        </w:rPr>
      </w:r>
    </w:p>
    <w:p>
      <w:pPr>
        <w:pStyle w:val="Heading2"/>
        <w:ind w:hanging="0" w:start="0"/>
        <w:rPr/>
      </w:pPr>
      <w:r>
        <w:rPr/>
        <w:t>Policy-Making</w:t>
      </w:r>
    </w:p>
    <w:p>
      <w:pPr>
        <w:pStyle w:val="Normal"/>
        <w:numPr>
          <w:ilvl w:val="0"/>
          <w:numId w:val="5"/>
        </w:numPr>
        <w:rPr>
          <w:sz w:val="24"/>
        </w:rPr>
      </w:pPr>
      <w:r>
        <w:rPr>
          <w:sz w:val="24"/>
        </w:rPr>
        <w:t>Uniform business practices implement business policy.  The process of creating uniform business practices must not become a surrogate for policy development.  Practices should be developed only for policies required by regulation or agreed to by stakeholders.</w:t>
      </w:r>
    </w:p>
    <w:p>
      <w:pPr>
        <w:pStyle w:val="Normal"/>
        <w:rPr>
          <w:sz w:val="24"/>
        </w:rPr>
      </w:pPr>
      <w:r>
        <w:rPr>
          <w:sz w:val="24"/>
        </w:rPr>
      </w:r>
    </w:p>
    <w:p>
      <w:pPr>
        <w:pStyle w:val="Heading2"/>
        <w:ind w:hanging="0" w:start="0"/>
        <w:rPr/>
      </w:pPr>
      <w:r>
        <w:rPr/>
        <w:t>Developmental Fairness</w:t>
      </w:r>
    </w:p>
    <w:p>
      <w:pPr>
        <w:pStyle w:val="Normal"/>
        <w:numPr>
          <w:ilvl w:val="0"/>
          <w:numId w:val="17"/>
        </w:numPr>
        <w:rPr>
          <w:sz w:val="24"/>
        </w:rPr>
      </w:pPr>
      <w:r>
        <w:rPr>
          <w:sz w:val="24"/>
        </w:rPr>
        <w:t xml:space="preserve">Uniform business practices should be developed with an unbiased process that recognizes the unique needs of key business segments.  </w:t>
      </w:r>
    </w:p>
    <w:p>
      <w:pPr>
        <w:pStyle w:val="Normal"/>
        <w:numPr>
          <w:ilvl w:val="0"/>
          <w:numId w:val="4"/>
        </w:numPr>
        <w:rPr>
          <w:sz w:val="24"/>
        </w:rPr>
      </w:pPr>
      <w:r>
        <w:rPr>
          <w:sz w:val="24"/>
        </w:rPr>
        <w:t>The process should prevent any segment from being over-ruled by other segments.</w:t>
      </w:r>
    </w:p>
    <w:p>
      <w:pPr>
        <w:pStyle w:val="Normal"/>
        <w:rPr>
          <w:sz w:val="24"/>
        </w:rPr>
      </w:pPr>
      <w:r>
        <w:rPr>
          <w:sz w:val="24"/>
        </w:rPr>
      </w:r>
    </w:p>
    <w:p>
      <w:pPr>
        <w:pStyle w:val="Heading2"/>
        <w:ind w:hanging="0" w:start="0"/>
        <w:rPr/>
      </w:pPr>
      <w:r>
        <w:rPr/>
        <w:t>Standards versus “Guidelines”</w:t>
      </w:r>
    </w:p>
    <w:p>
      <w:pPr>
        <w:pStyle w:val="Normal"/>
        <w:numPr>
          <w:ilvl w:val="0"/>
          <w:numId w:val="15"/>
        </w:numPr>
        <w:rPr>
          <w:sz w:val="24"/>
        </w:rPr>
      </w:pPr>
      <w:r>
        <w:rPr>
          <w:sz w:val="24"/>
        </w:rPr>
        <w:t>Electric markets, although growing rapidly, are still relatively immature.   RTO structure has not been finalized.  States are taking very different approaches to competition.  Wholesale and retail “best practices” remain to be identified, while states retain the will and authority to tailor state specific solutions.  For these reasons we endorse the concept of formal standards at the “transactional” level, and more flexible “guidelines” at the higher practice levels.</w:t>
      </w:r>
    </w:p>
    <w:p>
      <w:pPr>
        <w:pStyle w:val="Normal"/>
        <w:rPr>
          <w:sz w:val="24"/>
        </w:rPr>
      </w:pPr>
      <w:r>
        <w:rPr>
          <w:sz w:val="24"/>
        </w:rPr>
      </w:r>
    </w:p>
    <w:p>
      <w:pPr>
        <w:pStyle w:val="Heading2"/>
        <w:ind w:hanging="0" w:start="0"/>
        <w:rPr/>
      </w:pPr>
      <w:r>
        <w:rPr/>
        <w:t>Cost Effectiveness</w:t>
      </w:r>
    </w:p>
    <w:p>
      <w:pPr>
        <w:pStyle w:val="Normal"/>
        <w:numPr>
          <w:ilvl w:val="0"/>
          <w:numId w:val="14"/>
        </w:numPr>
        <w:rPr>
          <w:sz w:val="24"/>
        </w:rPr>
      </w:pPr>
      <w:r>
        <w:rPr>
          <w:sz w:val="24"/>
        </w:rPr>
        <w:t>Uniform business practices can cause new system investment and subsequent abandonment of existing systems.  No participant should be required to abandon existing investment unless it is cost effective to do so.</w:t>
      </w:r>
    </w:p>
    <w:p>
      <w:pPr>
        <w:pStyle w:val="Normal"/>
        <w:rPr>
          <w:sz w:val="24"/>
        </w:rPr>
      </w:pPr>
      <w:r>
        <w:rPr>
          <w:sz w:val="24"/>
        </w:rPr>
      </w:r>
    </w:p>
    <w:p>
      <w:pPr>
        <w:pStyle w:val="Heading2"/>
        <w:ind w:hanging="0" w:start="0"/>
        <w:rPr/>
      </w:pPr>
      <w:r>
        <w:rPr/>
        <w:t>Organizational Efficacy</w:t>
      </w:r>
    </w:p>
    <w:p>
      <w:pPr>
        <w:pStyle w:val="Normal"/>
        <w:rPr>
          <w:sz w:val="24"/>
        </w:rPr>
      </w:pPr>
      <w:r>
        <w:rPr>
          <w:sz w:val="24"/>
        </w:rPr>
        <w:t>Organization(s) charged with developing uniform business practices should:</w:t>
      </w:r>
    </w:p>
    <w:p>
      <w:pPr>
        <w:pStyle w:val="Normal"/>
        <w:numPr>
          <w:ilvl w:val="0"/>
          <w:numId w:val="3"/>
        </w:numPr>
        <w:rPr>
          <w:sz w:val="24"/>
        </w:rPr>
      </w:pPr>
      <w:r>
        <w:rPr>
          <w:sz w:val="24"/>
        </w:rPr>
        <w:t>Be led by a representative cross section of the industry segments subject to the practices being developed;</w:t>
      </w:r>
    </w:p>
    <w:p>
      <w:pPr>
        <w:pStyle w:val="Normal"/>
        <w:numPr>
          <w:ilvl w:val="0"/>
          <w:numId w:val="16"/>
        </w:numPr>
        <w:rPr>
          <w:sz w:val="24"/>
        </w:rPr>
      </w:pPr>
      <w:r>
        <w:rPr>
          <w:sz w:val="24"/>
        </w:rPr>
        <w:t>Be composed of members who are paying for the development of practices;</w:t>
      </w:r>
    </w:p>
    <w:p>
      <w:pPr>
        <w:pStyle w:val="Normal"/>
        <w:numPr>
          <w:ilvl w:val="0"/>
          <w:numId w:val="11"/>
        </w:numPr>
        <w:rPr>
          <w:sz w:val="24"/>
        </w:rPr>
      </w:pPr>
      <w:r>
        <w:rPr>
          <w:sz w:val="24"/>
        </w:rPr>
        <w:t>Operate with a minimal organizational overhead, building upon and coordinating with existing industry institutions and standard making bodies;</w:t>
      </w:r>
    </w:p>
    <w:p>
      <w:pPr>
        <w:pStyle w:val="Normal"/>
        <w:numPr>
          <w:ilvl w:val="0"/>
          <w:numId w:val="8"/>
        </w:numPr>
        <w:rPr>
          <w:sz w:val="24"/>
        </w:rPr>
      </w:pPr>
      <w:r>
        <w:rPr>
          <w:sz w:val="24"/>
        </w:rPr>
        <w:t>Be oriented towards effectively working with the most appropriate federal or state regulatory authority;</w:t>
      </w:r>
    </w:p>
    <w:p>
      <w:pPr>
        <w:pStyle w:val="Normal"/>
        <w:numPr>
          <w:ilvl w:val="0"/>
          <w:numId w:val="6"/>
        </w:numPr>
        <w:rPr>
          <w:sz w:val="24"/>
        </w:rPr>
      </w:pPr>
      <w:r>
        <w:rPr>
          <w:sz w:val="24"/>
        </w:rPr>
        <w:t>Be able to separate retail and wholesale priorities, methods, and participation.</w:t>
      </w:r>
    </w:p>
    <w:p>
      <w:pPr>
        <w:pStyle w:val="BodyText"/>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numFmt w:val="bullet"/>
      <w:lvlText w:val="-"/>
      <w:lvlJc w:val="start"/>
      <w:pPr>
        <w:tabs>
          <w:tab w:val="num" w:pos="720"/>
        </w:tabs>
        <w:ind w:start="720" w:hanging="360"/>
      </w:pPr>
      <w:rPr>
        <w:rFonts w:ascii="Liberation Serif" w:hAnsi="Liberation Serif" w:cs="Liberation Serif"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2000-05-18T10:05:00Z</dcterms:created>
  <dc:creator>Type your name here</dc:creator>
  <dc:description/>
  <dc:language>en-CA</dc:language>
  <cp:lastModifiedBy>Type your name here</cp:lastModifiedBy>
  <cp:lastPrinted>2000-05-18T09:23:00Z</cp:lastPrinted>
  <dcterms:modified xsi:type="dcterms:W3CDTF">2000-05-18T11:13:00Z</dcterms:modified>
  <cp:revision>5</cp:revision>
  <dc:subject/>
  <dc:title>Uniform Business Practices CEO Task Force </dc:title>
</cp:coreProperties>
</file>