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widowControl/>
        <w:rPr>
          <w:rFonts w:ascii="Arial" w:hAnsi="Arial" w:eastAsia="Arial" w:cs="Arial"/>
        </w:rPr>
      </w:pPr>
      <w:r>
        <w:rPr>
          <w:rFonts w:eastAsia="Arial" w:cs="Arial" w:ascii="Arial" w:hAnsi="Arial"/>
        </w:rPr>
      </w:r>
    </w:p>
    <w:p>
      <w:pPr>
        <w:pStyle w:val="Date"/>
        <w:widowControl/>
        <w:rPr>
          <w:rFonts w:ascii="Arial" w:hAnsi="Arial" w:eastAsia="Arial" w:cs="Arial"/>
        </w:rPr>
      </w:pPr>
      <w:r>
        <w:rPr>
          <w:rFonts w:eastAsia="Arial" w:cs="Arial" w:ascii="Arial" w:hAnsi="Arial"/>
        </w:rPr>
      </w:r>
    </w:p>
    <w:p>
      <w:pPr>
        <w:pStyle w:val="Normal"/>
        <w:widowControl/>
        <w:rPr>
          <w:rFonts w:ascii="Arial" w:hAnsi="Arial" w:eastAsia="Arial" w:cs="Arial"/>
        </w:rPr>
      </w:pPr>
      <w:r>
        <w:rPr>
          <w:rFonts w:eastAsia="Arial" w:cs="Arial" w:ascii="Arial" w:hAnsi="Arial"/>
        </w:rPr>
      </w:r>
    </w:p>
    <w:p>
      <w:pPr>
        <w:pStyle w:val="Date"/>
        <w:widowControl/>
        <w:rPr>
          <w:rFonts w:ascii="Arial" w:hAnsi="Arial" w:eastAsia="Arial" w:cs="Arial"/>
        </w:rPr>
      </w:pPr>
      <w:r>
        <w:rPr>
          <w:rFonts w:eastAsia="Arial" w:cs="Arial" w:ascii="Arial" w:hAnsi="Arial"/>
        </w:rPr>
      </w:r>
    </w:p>
    <w:p>
      <w:pPr>
        <w:pStyle w:val="Date"/>
        <w:widowControl/>
        <w:jc w:val="center"/>
        <w:rPr>
          <w:rFonts w:ascii="Arial" w:hAnsi="Arial" w:eastAsia="Arial" w:cs="Arial"/>
        </w:rPr>
      </w:pPr>
      <w:r>
        <w:rPr>
          <w:rFonts w:eastAsia="Arial" w:cs="Arial" w:ascii="Arial" w:hAnsi="Arial"/>
        </w:rPr>
        <w:t>May 4, 2000</w:t>
      </w:r>
    </w:p>
    <w:p>
      <w:pPr>
        <w:pStyle w:val="Normal"/>
        <w:widowControl/>
        <w:rPr>
          <w:rFonts w:ascii="Arial" w:hAnsi="Arial" w:eastAsia="Arial" w:cs="Arial"/>
        </w:rPr>
      </w:pPr>
      <w:r>
        <w:rPr>
          <w:rFonts w:eastAsia="Arial" w:cs="Arial" w:ascii="Arial" w:hAnsi="Arial"/>
        </w:rPr>
      </w:r>
    </w:p>
    <w:p>
      <w:pPr>
        <w:pStyle w:val="Normal"/>
        <w:widowControl/>
        <w:rPr>
          <w:rFonts w:ascii="Arial" w:hAnsi="Arial" w:eastAsia="Arial" w:cs="Arial"/>
        </w:rPr>
      </w:pPr>
      <w:r>
        <w:rPr>
          <w:rFonts w:eastAsia="Arial" w:cs="Arial" w:ascii="Arial" w:hAnsi="Arial"/>
        </w:rPr>
      </w:r>
    </w:p>
    <w:p>
      <w:pPr>
        <w:pStyle w:val="InsideAddressName"/>
        <w:widowControl/>
        <w:rPr>
          <w:rFonts w:ascii="Arial" w:hAnsi="Arial" w:eastAsia="Arial" w:cs="Arial"/>
        </w:rPr>
      </w:pPr>
      <w:r>
        <w:rPr>
          <w:rFonts w:eastAsia="Arial" w:cs="Arial" w:ascii="Arial" w:hAnsi="Arial"/>
        </w:rPr>
        <w:t>Michael A. Katz</w:t>
      </w:r>
    </w:p>
    <w:p>
      <w:pPr>
        <w:pStyle w:val="InsideAddress"/>
        <w:widowControl/>
        <w:rPr>
          <w:rFonts w:ascii="Arial" w:hAnsi="Arial" w:eastAsia="Arial" w:cs="Arial"/>
        </w:rPr>
      </w:pPr>
      <w:r>
        <w:rPr>
          <w:rFonts w:eastAsia="Arial" w:cs="Arial" w:ascii="Arial" w:hAnsi="Arial"/>
        </w:rPr>
        <w:t>Pacific Gas and Electric Company</w:t>
      </w:r>
    </w:p>
    <w:p>
      <w:pPr>
        <w:pStyle w:val="InsideAddress"/>
        <w:widowControl/>
        <w:rPr>
          <w:rFonts w:ascii="Arial" w:hAnsi="Arial" w:eastAsia="Arial" w:cs="Arial"/>
        </w:rPr>
      </w:pPr>
      <w:r>
        <w:rPr>
          <w:rFonts w:eastAsia="Arial" w:cs="Arial" w:ascii="Arial" w:hAnsi="Arial"/>
        </w:rPr>
        <w:t>245 Market Street, Room 1436</w:t>
      </w:r>
    </w:p>
    <w:p>
      <w:pPr>
        <w:pStyle w:val="InsideAddress"/>
        <w:widowControl/>
        <w:rPr>
          <w:rFonts w:ascii="Arial" w:hAnsi="Arial" w:eastAsia="Arial" w:cs="Arial"/>
        </w:rPr>
      </w:pPr>
      <w:r>
        <w:rPr>
          <w:rFonts w:eastAsia="Arial" w:cs="Arial" w:ascii="Arial" w:hAnsi="Arial"/>
        </w:rPr>
        <w:t xml:space="preserve">Mail Code N14F, PO Box 770000  </w:t>
      </w:r>
    </w:p>
    <w:p>
      <w:pPr>
        <w:pStyle w:val="InsideAddress"/>
        <w:widowControl/>
        <w:rPr>
          <w:rFonts w:ascii="Arial" w:hAnsi="Arial" w:eastAsia="Arial" w:cs="Arial"/>
        </w:rPr>
      </w:pPr>
      <w:r>
        <w:rPr>
          <w:rFonts w:eastAsia="Arial" w:cs="Arial" w:ascii="Arial" w:hAnsi="Arial"/>
        </w:rPr>
        <w:t>San Francisco, CA 94177 - 0001</w:t>
      </w:r>
    </w:p>
    <w:p>
      <w:pPr>
        <w:pStyle w:val="InsideAddress"/>
        <w:widowControl/>
        <w:rPr>
          <w:rFonts w:ascii="Arial" w:hAnsi="Arial" w:eastAsia="Arial" w:cs="Arial"/>
        </w:rPr>
      </w:pPr>
      <w:r>
        <w:rPr>
          <w:rFonts w:eastAsia="Arial" w:cs="Arial" w:ascii="Arial" w:hAnsi="Arial"/>
        </w:rPr>
      </w:r>
    </w:p>
    <w:p>
      <w:pPr>
        <w:pStyle w:val="Salutation"/>
        <w:widowControl/>
        <w:rPr>
          <w:rFonts w:ascii="Arial" w:hAnsi="Arial" w:eastAsia="Arial" w:cs="Arial"/>
        </w:rPr>
      </w:pPr>
      <w:r>
        <w:rPr>
          <w:rFonts w:eastAsia="Arial" w:cs="Arial" w:ascii="Arial" w:hAnsi="Arial"/>
        </w:rPr>
        <w:t>Dear Mike,</w:t>
      </w:r>
    </w:p>
    <w:p>
      <w:pPr>
        <w:pStyle w:val="BodyText"/>
        <w:widowControl/>
        <w:spacing w:before="0" w:after="0"/>
        <w:rPr>
          <w:rFonts w:ascii="Arial" w:hAnsi="Arial" w:eastAsia="Arial" w:cs="Arial"/>
        </w:rPr>
      </w:pPr>
      <w:r>
        <w:rPr>
          <w:rFonts w:eastAsia="Arial" w:cs="Arial" w:ascii="Arial" w:hAnsi="Arial"/>
        </w:rPr>
      </w:r>
    </w:p>
    <w:p>
      <w:pPr>
        <w:pStyle w:val="BodyText"/>
        <w:widowControl/>
        <w:spacing w:before="0" w:after="0"/>
        <w:rPr>
          <w:rFonts w:ascii="Arial" w:hAnsi="Arial" w:eastAsia="Arial" w:cs="Arial"/>
        </w:rPr>
      </w:pPr>
      <w:r>
        <w:rPr>
          <w:rFonts w:eastAsia="Arial" w:cs="Arial" w:ascii="Arial" w:hAnsi="Arial"/>
        </w:rPr>
        <w:t>Thank you for attending the Enron Transportation &amp; Storage 2000 Keyex Meeting in Tucson last week.  I sincerely hope you felt it was a value-added activity and an opportunity to create additional confidence in working with Transwestern.</w:t>
      </w:r>
    </w:p>
    <w:p>
      <w:pPr>
        <w:pStyle w:val="BodyText"/>
        <w:widowControl/>
        <w:spacing w:before="0" w:after="0"/>
        <w:rPr>
          <w:rFonts w:ascii="Arial" w:hAnsi="Arial" w:eastAsia="Arial" w:cs="Arial"/>
        </w:rPr>
      </w:pPr>
      <w:r>
        <w:rPr>
          <w:rFonts w:eastAsia="Arial" w:cs="Arial" w:ascii="Arial" w:hAnsi="Arial"/>
        </w:rPr>
      </w:r>
    </w:p>
    <w:p>
      <w:pPr>
        <w:pStyle w:val="BodyText"/>
        <w:widowControl/>
        <w:spacing w:before="0" w:after="0"/>
        <w:rPr>
          <w:rFonts w:ascii="Arial" w:hAnsi="Arial" w:eastAsia="Arial" w:cs="Arial"/>
        </w:rPr>
      </w:pPr>
      <w:r>
        <w:rPr>
          <w:rFonts w:eastAsia="Arial" w:cs="Arial" w:ascii="Arial" w:hAnsi="Arial"/>
        </w:rPr>
        <w:t xml:space="preserve">I appreciate the time you spent with Bill and I discussing our current gas quality issue.  As you may be aware, Transwestern committed $5,375,000 to this issue in 1999.  This year we have committed an additional $4,120,000 to PG&amp;E for sample taps, up to eight (8) PG&amp;E customer filter/separators, decontamination of the Topock cooling tower, and the Mojave mainline filter/separator project.  In order to avoid any confusion on our current discussion and agreement points, I have taken the opportunity to outline them as follows: </w:t>
      </w:r>
    </w:p>
    <w:p>
      <w:pPr>
        <w:pStyle w:val="BodyText"/>
        <w:widowControl/>
        <w:spacing w:before="0" w:after="0"/>
        <w:rPr>
          <w:rFonts w:ascii="Arial" w:hAnsi="Arial" w:eastAsia="Arial" w:cs="Arial"/>
        </w:rPr>
      </w:pPr>
      <w:r>
        <w:rPr>
          <w:rFonts w:eastAsia="Arial" w:cs="Arial" w:ascii="Arial" w:hAnsi="Arial"/>
        </w:rPr>
      </w:r>
    </w:p>
    <w:p>
      <w:pPr>
        <w:pStyle w:val="BodyText"/>
        <w:widowControl/>
        <w:numPr>
          <w:ilvl w:val="0"/>
          <w:numId w:val="1"/>
        </w:numPr>
        <w:tabs>
          <w:tab w:val="clear" w:pos="720"/>
          <w:tab w:val="left" w:pos="0" w:leader="none"/>
        </w:tabs>
        <w:spacing w:before="0" w:after="0"/>
        <w:ind w:hanging="360" w:start="720" w:end="0"/>
        <w:rPr/>
      </w:pPr>
      <w:r>
        <w:rPr>
          <w:rFonts w:eastAsia="Arial" w:cs="Arial" w:ascii="Arial" w:hAnsi="Arial"/>
        </w:rPr>
        <w:t xml:space="preserve">Transwestern will agree to fund in year 2000 the installation of </w:t>
      </w:r>
      <w:del w:id="0" w:author="Rod Boschee" w:date="2000-05-05T10:16:00Z">
        <w:r>
          <w:rPr>
            <w:rFonts w:eastAsia="Arial" w:cs="Arial" w:ascii="Arial" w:hAnsi="Arial"/>
          </w:rPr>
          <w:delText>an additional 21</w:delText>
        </w:r>
      </w:del>
      <w:ins w:id="1" w:author="Rod Boschee" w:date="2000-05-05T10:16:00Z">
        <w:r>
          <w:rPr>
            <w:rFonts w:eastAsia="Arial" w:cs="Arial" w:ascii="Arial" w:hAnsi="Arial"/>
          </w:rPr>
          <w:t>the necessary</w:t>
        </w:r>
      </w:ins>
      <w:r>
        <w:rPr>
          <w:rFonts w:eastAsia="Arial" w:cs="Arial" w:ascii="Arial" w:hAnsi="Arial"/>
        </w:rPr>
        <w:t xml:space="preserve"> PG&amp;E customer filter/separators and reimburse related expenses for the ongoing aggressive PG&amp;E PCB testing.  PG&amp;E has estimated the </w:t>
      </w:r>
      <w:ins w:id="2" w:author="Rod Boschee" w:date="2000-05-05T10:46:00Z">
        <w:r>
          <w:rPr>
            <w:rFonts w:eastAsia="Arial" w:cs="Arial" w:ascii="Arial" w:hAnsi="Arial"/>
          </w:rPr>
          <w:t xml:space="preserve">additional </w:t>
        </w:r>
      </w:ins>
      <w:r>
        <w:rPr>
          <w:rFonts w:eastAsia="Arial" w:cs="Arial" w:ascii="Arial" w:hAnsi="Arial"/>
        </w:rPr>
        <w:t>total cost</w:t>
      </w:r>
      <w:del w:id="3" w:author="Rod Boschee" w:date="2000-05-05T10:47:00Z">
        <w:r>
          <w:rPr>
            <w:rFonts w:eastAsia="Arial" w:cs="Arial" w:ascii="Arial" w:hAnsi="Arial"/>
          </w:rPr>
          <w:delText>s</w:delText>
        </w:r>
      </w:del>
      <w:r>
        <w:rPr>
          <w:rFonts w:eastAsia="Arial" w:cs="Arial" w:ascii="Arial" w:hAnsi="Arial"/>
        </w:rPr>
        <w:t xml:space="preserve"> for </w:t>
      </w:r>
      <w:ins w:id="4" w:author="Rod Boschee" w:date="2000-05-05T10:46:00Z">
        <w:r>
          <w:rPr>
            <w:rFonts w:eastAsia="Arial" w:cs="Arial" w:ascii="Arial" w:hAnsi="Arial"/>
          </w:rPr>
          <w:t xml:space="preserve">2000 for </w:t>
        </w:r>
      </w:ins>
      <w:r>
        <w:rPr>
          <w:rFonts w:eastAsia="Arial" w:cs="Arial" w:ascii="Arial" w:hAnsi="Arial"/>
        </w:rPr>
        <w:t xml:space="preserve">these projects to be </w:t>
      </w:r>
      <w:ins w:id="5" w:author="Rod Boschee" w:date="2000-05-05T10:17:00Z">
        <w:r>
          <w:rPr>
            <w:rFonts w:eastAsia="Arial" w:cs="Arial" w:ascii="Arial" w:hAnsi="Arial"/>
          </w:rPr>
          <w:t xml:space="preserve">approximately </w:t>
        </w:r>
      </w:ins>
      <w:r>
        <w:rPr>
          <w:rFonts w:eastAsia="Arial" w:cs="Arial" w:ascii="Arial" w:hAnsi="Arial"/>
        </w:rPr>
        <w:t>$3,000,000</w:t>
      </w:r>
      <w:del w:id="6" w:author="Rod Boschee" w:date="2000-05-05T10:17:00Z">
        <w:r>
          <w:rPr>
            <w:rFonts w:eastAsia="Arial" w:cs="Arial" w:ascii="Arial" w:hAnsi="Arial"/>
          </w:rPr>
          <w:delText xml:space="preserve"> or less</w:delText>
        </w:r>
      </w:del>
      <w:r>
        <w:rPr>
          <w:rFonts w:eastAsia="Arial" w:cs="Arial" w:ascii="Arial" w:hAnsi="Arial"/>
        </w:rPr>
        <w:t>.</w:t>
      </w:r>
    </w:p>
    <w:p>
      <w:pPr>
        <w:pStyle w:val="BodyText"/>
        <w:widowControl/>
        <w:spacing w:before="0" w:after="0"/>
        <w:rPr>
          <w:rFonts w:ascii="Arial" w:hAnsi="Arial" w:eastAsia="Arial" w:cs="Arial"/>
        </w:rPr>
      </w:pPr>
      <w:r>
        <w:rPr>
          <w:rFonts w:eastAsia="Arial" w:cs="Arial" w:ascii="Arial" w:hAnsi="Arial"/>
        </w:rPr>
      </w:r>
    </w:p>
    <w:p>
      <w:pPr>
        <w:pStyle w:val="BodyText"/>
        <w:widowControl/>
        <w:numPr>
          <w:ilvl w:val="0"/>
          <w:numId w:val="2"/>
        </w:numPr>
        <w:tabs>
          <w:tab w:val="clear" w:pos="720"/>
          <w:tab w:val="left" w:pos="0" w:leader="none"/>
        </w:tabs>
        <w:spacing w:before="0" w:after="0"/>
        <w:ind w:hanging="360" w:start="720" w:end="0"/>
        <w:rPr>
          <w:rFonts w:ascii="Arial" w:hAnsi="Arial" w:eastAsia="Arial" w:cs="Arial"/>
        </w:rPr>
      </w:pPr>
      <w:r>
        <w:rPr>
          <w:rFonts w:eastAsia="Arial" w:cs="Arial" w:ascii="Arial" w:hAnsi="Arial"/>
        </w:rPr>
        <w:t xml:space="preserve">PG&amp;E will </w:t>
      </w:r>
      <w:del w:id="7" w:author="Rod Boschee" w:date="2000-05-05T10:17:00Z">
        <w:r>
          <w:rPr>
            <w:rFonts w:eastAsia="Arial" w:cs="Arial" w:ascii="Arial" w:hAnsi="Arial"/>
          </w:rPr>
          <w:delText>lift</w:delText>
        </w:r>
      </w:del>
      <w:ins w:id="8" w:author="Rod Boschee" w:date="2000-05-05T10:17:00Z">
        <w:r>
          <w:rPr>
            <w:rFonts w:eastAsia="Arial" w:cs="Arial" w:ascii="Arial" w:hAnsi="Arial"/>
          </w:rPr>
          <w:t>increase</w:t>
        </w:r>
      </w:ins>
      <w:r>
        <w:rPr>
          <w:rFonts w:eastAsia="Arial" w:cs="Arial" w:ascii="Arial" w:hAnsi="Arial"/>
        </w:rPr>
        <w:t xml:space="preserve"> the current 250,000 MMBtu/Day delivery limit at the Transwestern / PG&amp;E Topock interconnect</w:t>
      </w:r>
      <w:ins w:id="9" w:author="Rod Boschee" w:date="2000-05-05T10:17:00Z">
        <w:r>
          <w:rPr>
            <w:rFonts w:eastAsia="Arial" w:cs="Arial" w:ascii="Arial" w:hAnsi="Arial"/>
          </w:rPr>
          <w:t xml:space="preserve"> to 300,000 MMBtu/Day</w:t>
        </w:r>
      </w:ins>
      <w:ins w:id="10" w:author="Rod Boschee" w:date="2000-05-05T10:19:00Z">
        <w:r>
          <w:rPr>
            <w:rFonts w:eastAsia="Arial" w:cs="Arial" w:ascii="Arial" w:hAnsi="Arial"/>
          </w:rPr>
          <w:t xml:space="preserve"> effective May 15, 2000</w:t>
        </w:r>
      </w:ins>
      <w:r>
        <w:rPr>
          <w:rFonts w:eastAsia="Arial" w:cs="Arial" w:ascii="Arial" w:hAnsi="Arial"/>
        </w:rPr>
        <w:t xml:space="preserve">. All increases in </w:t>
      </w:r>
      <w:ins w:id="11" w:author="Rod Boschee" w:date="2000-05-05T10:18:00Z">
        <w:r>
          <w:rPr>
            <w:rFonts w:eastAsia="Arial" w:cs="Arial" w:ascii="Arial" w:hAnsi="Arial"/>
          </w:rPr>
          <w:t xml:space="preserve">actual </w:t>
        </w:r>
      </w:ins>
      <w:r>
        <w:rPr>
          <w:rFonts w:eastAsia="Arial" w:cs="Arial" w:ascii="Arial" w:hAnsi="Arial"/>
        </w:rPr>
        <w:t>deliveries will be solely market driven</w:t>
      </w:r>
      <w:ins w:id="12" w:author="Rod Boschee" w:date="2000-05-05T10:19:00Z">
        <w:r>
          <w:rPr>
            <w:rFonts w:eastAsia="Arial" w:cs="Arial" w:ascii="Arial" w:hAnsi="Arial"/>
          </w:rPr>
          <w:t>.</w:t>
        </w:r>
      </w:ins>
      <w:r>
        <w:rPr>
          <w:rFonts w:eastAsia="Arial" w:cs="Arial" w:ascii="Arial" w:hAnsi="Arial"/>
        </w:rPr>
        <w:t xml:space="preserve"> </w:t>
      </w:r>
      <w:ins w:id="13" w:author="Rod Boschee" w:date="2000-05-05T10:19:00Z">
        <w:r>
          <w:rPr>
            <w:rFonts w:eastAsia="Arial" w:cs="Arial" w:ascii="Arial" w:hAnsi="Arial"/>
          </w:rPr>
          <w:t xml:space="preserve"> PG&amp;E and Transwestern shall monitor the gas quality of all gas delivered by Transwestern to PG&amp;E at the Topock interconnect.  If the ongoing test results indicate no delivery of PCBs at the Topock interconnect </w:t>
        </w:r>
      </w:ins>
      <w:ins w:id="14" w:author="Rod Boschee" w:date="2000-05-05T10:24:00Z">
        <w:r>
          <w:rPr>
            <w:rFonts w:eastAsia="Arial" w:cs="Arial" w:ascii="Arial" w:hAnsi="Arial"/>
          </w:rPr>
          <w:t xml:space="preserve">during the next six months, </w:t>
        </w:r>
      </w:ins>
      <w:ins w:id="15" w:author="Rod Boschee" w:date="2000-05-05T10:20:00Z">
        <w:r>
          <w:rPr>
            <w:rFonts w:eastAsia="Arial" w:cs="Arial" w:ascii="Arial" w:hAnsi="Arial"/>
          </w:rPr>
          <w:t>the parties will consider a further incremental increase in the delivery limit</w:t>
        </w:r>
      </w:ins>
      <w:ins w:id="16" w:author="Rod Boschee" w:date="2000-05-05T10:24:00Z">
        <w:r>
          <w:rPr>
            <w:rFonts w:eastAsia="Arial" w:cs="Arial" w:ascii="Arial" w:hAnsi="Arial"/>
          </w:rPr>
          <w:t xml:space="preserve">.  </w:t>
        </w:r>
      </w:ins>
      <w:del w:id="17" w:author="Rod Boschee" w:date="2000-05-05T10:25:00Z">
        <w:r>
          <w:rPr>
            <w:rFonts w:eastAsia="Arial" w:cs="Arial" w:ascii="Arial" w:hAnsi="Arial"/>
          </w:rPr>
          <w:delText>and accomplished in 50,000 MMBtu/Day increments with gas quality analysis completed after each incremental increase.  At this time Transwestern does not recommend increasing deliveries beyond the design of the ultimate filter/separators.</w:delText>
        </w:r>
      </w:del>
    </w:p>
    <w:p>
      <w:pPr>
        <w:pStyle w:val="BodyText"/>
        <w:widowControl/>
        <w:spacing w:before="0" w:after="0"/>
        <w:rPr>
          <w:rFonts w:ascii="Arial" w:hAnsi="Arial" w:eastAsia="Arial" w:cs="Arial"/>
        </w:rPr>
      </w:pPr>
      <w:r>
        <w:rPr>
          <w:rFonts w:eastAsia="Arial" w:cs="Arial" w:ascii="Arial" w:hAnsi="Arial"/>
        </w:rPr>
      </w:r>
    </w:p>
    <w:p>
      <w:pPr>
        <w:pStyle w:val="BodyText"/>
        <w:widowControl/>
        <w:numPr>
          <w:ilvl w:val="0"/>
          <w:numId w:val="3"/>
        </w:numPr>
        <w:tabs>
          <w:tab w:val="clear" w:pos="720"/>
          <w:tab w:val="left" w:pos="0" w:leader="none"/>
        </w:tabs>
        <w:spacing w:before="0" w:after="0"/>
        <w:ind w:hanging="360" w:start="720" w:end="0"/>
        <w:rPr>
          <w:rFonts w:ascii="Arial" w:hAnsi="Arial" w:eastAsia="Arial" w:cs="Arial"/>
        </w:rPr>
      </w:pPr>
      <w:r>
        <w:rPr>
          <w:rFonts w:eastAsia="Arial" w:cs="Arial" w:ascii="Arial" w:hAnsi="Arial"/>
        </w:rPr>
        <w:t>PG&amp;E will defer/delay consideration of any decontamination work at the Topock Compressor Station for the year 2000</w:t>
      </w:r>
      <w:ins w:id="18" w:author="Rod Boschee" w:date="2000-05-05T10:25:00Z">
        <w:r>
          <w:rPr>
            <w:rFonts w:eastAsia="Arial" w:cs="Arial" w:ascii="Arial" w:hAnsi="Arial"/>
          </w:rPr>
          <w:t>.</w:t>
        </w:r>
      </w:ins>
      <w:r>
        <w:rPr>
          <w:rFonts w:eastAsia="Arial" w:cs="Arial" w:ascii="Arial" w:hAnsi="Arial"/>
        </w:rPr>
        <w:t xml:space="preserve"> </w:t>
      </w:r>
      <w:del w:id="19" w:author="Rod Boschee" w:date="2000-05-05T10:25:00Z">
        <w:r>
          <w:rPr>
            <w:rFonts w:eastAsia="Arial" w:cs="Arial" w:ascii="Arial" w:hAnsi="Arial"/>
          </w:rPr>
          <w:delText>and/or until such time that it has been determined that additional PCBs have migrated into the PG&amp;E system from Transwestern.</w:delText>
        </w:r>
      </w:del>
      <w:ins w:id="20" w:author="Rod Boschee" w:date="2000-05-05T10:25:00Z">
        <w:r>
          <w:rPr>
            <w:rFonts w:eastAsia="Arial" w:cs="Arial" w:ascii="Arial" w:hAnsi="Arial"/>
          </w:rPr>
          <w:t xml:space="preserve"> During the first quarter of 2001 the Parties shall sample and test liquids found within the Topock Compressor Station and based on the results of those tests determine if and when further decontamination of the Topock Compressor Station is necessary.</w:t>
        </w:r>
      </w:ins>
    </w:p>
    <w:p>
      <w:pPr>
        <w:pStyle w:val="BodyText"/>
        <w:widowControl/>
        <w:spacing w:before="0" w:after="0"/>
        <w:rPr>
          <w:rFonts w:ascii="Arial" w:hAnsi="Arial" w:eastAsia="Arial" w:cs="Arial"/>
        </w:rPr>
      </w:pPr>
      <w:r>
        <w:rPr>
          <w:rFonts w:eastAsia="Arial" w:cs="Arial" w:ascii="Arial" w:hAnsi="Arial"/>
        </w:rPr>
        <w:t xml:space="preserve"> </w:t>
      </w:r>
    </w:p>
    <w:p>
      <w:pPr>
        <w:pStyle w:val="BodyText"/>
        <w:widowControl/>
        <w:numPr>
          <w:ilvl w:val="0"/>
          <w:numId w:val="4"/>
        </w:numPr>
        <w:tabs>
          <w:tab w:val="clear" w:pos="720"/>
          <w:tab w:val="left" w:pos="0" w:leader="none"/>
        </w:tabs>
        <w:spacing w:before="0" w:after="0"/>
        <w:ind w:hanging="360" w:start="720" w:end="0"/>
        <w:rPr>
          <w:rFonts w:ascii="Arial" w:hAnsi="Arial" w:eastAsia="Arial" w:cs="Arial"/>
        </w:rPr>
      </w:pPr>
      <w:r>
        <w:rPr>
          <w:rFonts w:eastAsia="Arial" w:cs="Arial" w:ascii="Arial" w:hAnsi="Arial"/>
        </w:rPr>
        <w:t>Transwestern and PG&amp;E will establish a Gas Quality Committee to review on-going issues and potential operating requirements. It is anticipated this group will consist of three individuals from each company:  Larry Campbell, Earl Chanley, and Rich Jolly representing Transwestern, and Curt Russell, Mel Wong, and Eric Kirkpatrick representing  PG&amp;E. Mike Nelson (Transwestern) and Rod Boschee (PG&amp;E) will have oversight responsibilities for this committee and may substitute or change Committee Members on an as needed basis.</w:t>
      </w:r>
    </w:p>
    <w:p>
      <w:pPr>
        <w:pStyle w:val="BodyText"/>
        <w:widowControl/>
        <w:rPr>
          <w:rFonts w:ascii="Arial" w:hAnsi="Arial" w:eastAsia="Arial" w:cs="Arial"/>
        </w:rPr>
      </w:pPr>
      <w:r>
        <w:rPr>
          <w:rFonts w:eastAsia="Arial" w:cs="Arial" w:ascii="Arial" w:hAnsi="Arial"/>
        </w:rPr>
      </w:r>
    </w:p>
    <w:p>
      <w:pPr>
        <w:pStyle w:val="BodyText"/>
        <w:widowControl/>
        <w:rPr>
          <w:rFonts w:ascii="Arial" w:hAnsi="Arial" w:eastAsia="Arial" w:cs="Arial"/>
        </w:rPr>
      </w:pPr>
      <w:r>
        <w:rPr>
          <w:rFonts w:eastAsia="Arial" w:cs="Arial" w:ascii="Arial" w:hAnsi="Arial"/>
        </w:rPr>
        <w:t>I appreciate PG&amp;E’s cooperation in resolving these operational issues and look forward to working with you in the future.</w:t>
      </w:r>
    </w:p>
    <w:p>
      <w:pPr>
        <w:pStyle w:val="BodyText"/>
        <w:widowControl/>
        <w:jc w:val="center"/>
        <w:rPr>
          <w:rFonts w:ascii="Arial" w:hAnsi="Arial" w:eastAsia="Arial" w:cs="Arial"/>
        </w:rPr>
      </w:pPr>
      <w:r>
        <w:rPr>
          <w:rFonts w:eastAsia="Arial" w:cs="Arial" w:ascii="Arial" w:hAnsi="Arial"/>
        </w:rPr>
      </w:r>
    </w:p>
    <w:p>
      <w:pPr>
        <w:pStyle w:val="BodyText"/>
        <w:widowControl/>
        <w:jc w:val="center"/>
        <w:rPr>
          <w:rFonts w:ascii="Arial" w:hAnsi="Arial" w:eastAsia="Arial" w:cs="Arial"/>
        </w:rPr>
      </w:pPr>
      <w:r>
        <w:rPr>
          <w:rFonts w:eastAsia="Arial" w:cs="Arial" w:ascii="Arial" w:hAnsi="Arial"/>
        </w:rPr>
        <w:t>Sincerely,</w:t>
      </w:r>
    </w:p>
    <w:p>
      <w:pPr>
        <w:pStyle w:val="BodyText"/>
        <w:widowControl/>
        <w:ind w:firstLine="630" w:start="3600" w:end="0"/>
        <w:rPr>
          <w:rFonts w:ascii="Arial" w:hAnsi="Arial" w:eastAsia="Arial" w:cs="Arial"/>
        </w:rPr>
      </w:pPr>
      <w:r>
        <w:rPr>
          <w:rFonts w:eastAsia="Arial" w:cs="Arial" w:ascii="Arial" w:hAnsi="Arial"/>
        </w:rPr>
      </w:r>
    </w:p>
    <w:p>
      <w:pPr>
        <w:pStyle w:val="BodyText"/>
        <w:widowControl/>
        <w:ind w:firstLine="630" w:start="3600" w:end="0"/>
        <w:rPr>
          <w:rFonts w:ascii="Arial" w:hAnsi="Arial" w:eastAsia="Arial" w:cs="Arial"/>
        </w:rPr>
      </w:pPr>
      <w:r>
        <w:rPr>
          <w:rFonts w:eastAsia="Arial" w:cs="Arial" w:ascii="Arial" w:hAnsi="Arial"/>
        </w:rPr>
      </w:r>
    </w:p>
    <w:p>
      <w:pPr>
        <w:pStyle w:val="BodyText"/>
        <w:widowControl/>
        <w:spacing w:before="0" w:after="120"/>
        <w:ind w:firstLine="630" w:start="3600" w:end="0"/>
        <w:rPr>
          <w:rFonts w:ascii="Arial" w:hAnsi="Arial" w:eastAsia="Arial" w:cs="Arial"/>
        </w:rPr>
      </w:pPr>
      <w:r>
        <w:rPr>
          <w:rFonts w:eastAsia="Arial" w:cs="Arial" w:ascii="Arial" w:hAnsi="Arial"/>
        </w:rPr>
        <w:t>Michel E. Nelson</w:t>
      </w:r>
    </w:p>
    <w:sectPr>
      <w:type w:val="nextPage"/>
      <w:pgSz w:w="12240" w:h="15840"/>
      <w:pgMar w:left="1440" w:right="1440" w:gutter="0" w:header="0" w:top="1440" w:footer="0" w:bottom="129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2000-05-05T14:42:00Z</dcterms:created>
  <dc:creator>Rod Boschee</dc:creator>
  <dc:description/>
  <dc:language>en-CA</dc:language>
  <cp:lastModifiedBy>Rod Boschee</cp:lastModifiedBy>
  <cp:lastPrinted>2000-05-04T10:55:00Z</cp:lastPrinted>
  <dcterms:modified xsi:type="dcterms:W3CDTF">2000-05-05T15:17:00Z</dcterms:modified>
  <cp:revision>4</cp:revision>
  <dc:subject/>
  <dc:title>DRAFT</dc:title>
</cp:coreProperties>
</file>