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uto" w:line="480"/>
        <w:ind w:firstLine="720" w:end="0"/>
        <w:rPr>
          <w:szCs w:val="20"/>
        </w:rPr>
      </w:pPr>
      <w:r>
        <w:rPr>
          <w:szCs w:val="20"/>
        </w:rPr>
        <w:t xml:space="preserve">This memo addresses some of the rate questions raised by BP Amoco pursuant to the Red Rock expansion contracts and explains the impact negotiated rate transactions will have on Transwestern during the next rate case.   Given that Transwestern must file a rate case to be effective no later than November 1, 2006, the Red Rock contracts will all fall into the rate case base period.   The base period is a 12-month period of the most recently available actuals, which based on a May 1, 2006 filing date will probably be from January 1, 2005 through December 31, 2005.   If you will recall, BP Amoco raised several questions regarding the rate treatment of the Red Rock expansion.  Specifically, BP argued against having to enter into a 5-year above-maximum rate contract if in the next rate case, Transwestern rolled in the Red Rock costs and ended up with a new maximum rate which was slightly higher than the old one but still less than BP’s negotiated rate.   BP argued that this would provide TW with a windfall under BP’s contract.  Our response to BP is that Transwestern will treat negotiated rate revenues in its next rate case pursuant to Commission policy and that BP is free to take any position with respect to the rate treatment associated with the Red Rock expansion contracts.  </w:t>
      </w:r>
    </w:p>
    <w:p>
      <w:pPr>
        <w:pStyle w:val="Normal"/>
        <w:autoSpaceDE w:val="false"/>
        <w:spacing w:lineRule="auto" w:line="480"/>
        <w:ind w:firstLine="720" w:end="0"/>
        <w:rPr>
          <w:rFonts w:ascii="Arial" w:hAnsi="Arial" w:cs="Arial"/>
          <w:sz w:val="20"/>
          <w:szCs w:val="20"/>
        </w:rPr>
      </w:pPr>
      <w:r>
        <w:rPr>
          <w:szCs w:val="20"/>
        </w:rPr>
        <w:t xml:space="preserve">Pursuant to Commission policy, </w:t>
      </w:r>
      <w:r>
        <w:rPr/>
        <w:t xml:space="preserve">revenues associated with any negotiated rate contracts must be treated as if we had received the maximum rate for such contracts.  This means that for any negotiated rate contracts below the maximum rate, </w:t>
      </w:r>
      <w:r>
        <w:rPr>
          <w:szCs w:val="20"/>
        </w:rPr>
        <w:t xml:space="preserve">we would have to reflect revenues at the higher maximum rate and not the revenues we received under the contract, but for any negotiated rate contracts above the maximum rate, we would arguably only have to reflect maximum rate revenues and not the above-maximum rate revenues we received under the contract.   In this case, Transwestern bears the risk on negotiated rate contracts below the maximum rate but should get the benefit of negotiated rate contracts above the maximum rate.  In other words, there is not a windfall just a risk-sharing.  Of course, FERC and above-max rate shippers in the rate case would try to make us reflect all the revenues we received under above-maximum rate contracts.   If you have further questions regarding this issue, please do not hesitate to call me.      </w:t>
      </w:r>
    </w:p>
    <w:p>
      <w:pPr>
        <w:pStyle w:val="BodyText"/>
        <w:rPr>
          <w:rFonts w:ascii="Arial" w:hAnsi="Arial" w:cs="Arial"/>
          <w:sz w:val="20"/>
          <w:szCs w:val="20"/>
        </w:rPr>
      </w:pPr>
      <w:r>
        <w:rPr>
          <w:rFonts w:cs="Arial"/>
          <w:sz w:val="20"/>
          <w:szCs w:val="20"/>
        </w:rPr>
      </w:r>
    </w:p>
    <w:p>
      <w:pPr>
        <w:pStyle w:val="BodyText"/>
        <w:rPr/>
      </w:pPr>
      <w:r>
        <w:rPr/>
        <w:t>Thanks, Maria</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lineRule="auto" w:line="480"/>
    </w:pPr>
    <w:rPr>
      <w:rFonts w:ascii="Arial" w:hAnsi="Arial" w:cs="Arial"/>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2001-06-21T13:29:00Z</dcterms:created>
  <dc:creator>mpavlou</dc:creator>
  <dc:description/>
  <dc:language>en-CA</dc:language>
  <cp:lastModifiedBy>mpavlou</cp:lastModifiedBy>
  <cp:lastPrinted>2001-04-25T13:30:00Z</cp:lastPrinted>
  <dcterms:modified xsi:type="dcterms:W3CDTF">2001-11-19T12:44:00Z</dcterms:modified>
  <cp:revision>5</cp:revision>
  <dc:subject/>
  <dc:title>This memo is to remind you and your staffs of the impact negotiated rate transactions will have on Northern during the next ra</dc:title>
</cp:coreProperties>
</file>