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sz w:val="28"/>
          <w:szCs w:val="28"/>
        </w:rPr>
        <w:t>M E M O R A N D U M</w:t>
      </w:r>
    </w:p>
    <w:p>
      <w:pPr>
        <w:pStyle w:val="Normal"/>
        <w:widowControl/>
        <w:jc w:val="both"/>
        <w:rPr>
          <w:sz w:val="28"/>
          <w:szCs w:val="28"/>
        </w:rPr>
      </w:pPr>
      <w:r>
        <w:rPr>
          <w:sz w:val="28"/>
          <w:szCs w:val="28"/>
        </w:rPr>
      </w:r>
    </w:p>
    <w:p>
      <w:pPr>
        <w:pStyle w:val="Normal"/>
        <w:widowControl/>
        <w:jc w:val="both"/>
        <w:rPr/>
      </w:pPr>
      <w:r>
        <w:rPr/>
      </w:r>
    </w:p>
    <w:p>
      <w:pPr>
        <w:pStyle w:val="Normal"/>
        <w:widowControl/>
        <w:tabs>
          <w:tab w:val="clear" w:pos="720"/>
          <w:tab w:val="left" w:pos="-1440" w:leader="none"/>
        </w:tabs>
        <w:ind w:hanging="1440" w:start="1440" w:end="0"/>
        <w:jc w:val="both"/>
        <w:rPr/>
      </w:pPr>
      <w:r>
        <w:rPr/>
        <w:t>TO:</w:t>
        <w:tab/>
        <w:tab/>
        <w:t>Joseph R. Hartsoe</w:t>
      </w:r>
    </w:p>
    <w:p>
      <w:pPr>
        <w:pStyle w:val="Normal"/>
        <w:widowControl/>
        <w:ind w:firstLine="1440" w:end="0"/>
        <w:jc w:val="both"/>
        <w:rPr/>
      </w:pPr>
      <w:r>
        <w:rPr/>
        <w:t>Christi Nicolay</w:t>
      </w:r>
    </w:p>
    <w:p>
      <w:pPr>
        <w:pStyle w:val="Normal"/>
        <w:widowControl/>
        <w:ind w:firstLine="1440" w:end="0"/>
        <w:jc w:val="both"/>
        <w:rPr/>
      </w:pPr>
      <w:r>
        <w:rPr/>
        <w:t>Enron Corp.</w:t>
      </w:r>
    </w:p>
    <w:p>
      <w:pPr>
        <w:pStyle w:val="Normal"/>
        <w:widowControl/>
        <w:jc w:val="both"/>
        <w:rPr/>
      </w:pPr>
      <w:r>
        <w:rPr/>
      </w:r>
    </w:p>
    <w:p>
      <w:pPr>
        <w:pStyle w:val="Normal"/>
        <w:widowControl/>
        <w:tabs>
          <w:tab w:val="clear" w:pos="720"/>
          <w:tab w:val="left" w:pos="-1440" w:leader="none"/>
        </w:tabs>
        <w:ind w:hanging="1440" w:start="1440" w:end="0"/>
        <w:jc w:val="both"/>
        <w:rPr/>
      </w:pPr>
      <w:r>
        <w:rPr/>
        <w:t>FROM:</w:t>
        <w:tab/>
        <w:t>Jeffrey D. Watkiss</w:t>
      </w:r>
    </w:p>
    <w:p>
      <w:pPr>
        <w:pStyle w:val="Normal"/>
        <w:widowControl/>
        <w:ind w:firstLine="1440" w:end="0"/>
        <w:jc w:val="both"/>
        <w:rPr/>
      </w:pPr>
      <w:r>
        <w:rPr/>
        <w:t>Kimberly A. Curry</w:t>
      </w:r>
    </w:p>
    <w:p>
      <w:pPr>
        <w:pStyle w:val="Normal"/>
        <w:widowControl/>
        <w:ind w:firstLine="1440" w:end="0"/>
        <w:jc w:val="both"/>
        <w:rPr/>
      </w:pPr>
      <w:r>
        <w:rPr/>
        <w:t>Bracewell &amp; Patterson, L.L.P.</w:t>
      </w:r>
    </w:p>
    <w:p>
      <w:pPr>
        <w:pStyle w:val="Normal"/>
        <w:widowControl/>
        <w:jc w:val="both"/>
        <w:rPr/>
      </w:pPr>
      <w:r>
        <w:rPr/>
      </w:r>
    </w:p>
    <w:p>
      <w:pPr>
        <w:pStyle w:val="Normal"/>
        <w:widowControl/>
        <w:tabs>
          <w:tab w:val="clear" w:pos="720"/>
          <w:tab w:val="left" w:pos="-1440" w:leader="none"/>
        </w:tabs>
        <w:ind w:hanging="1440" w:start="1440" w:end="0"/>
        <w:jc w:val="both"/>
        <w:rPr/>
      </w:pPr>
      <w:r>
        <w:rPr/>
        <w:t>DATE:</w:t>
        <w:tab/>
        <w:tab/>
      </w:r>
      <w:r>
        <w:rPr/>
        <w:fldChar w:fldCharType="begin"/>
      </w:r>
      <w:r>
        <w:rPr/>
        <w:instrText xml:space="preserve"> DATE \@"MMMM\ d', 'yyyy" </w:instrText>
      </w:r>
      <w:r>
        <w:rPr/>
        <w:fldChar w:fldCharType="separate"/>
      </w:r>
      <w:r>
        <w:rPr/>
        <w:t>September 28, 2025</w:t>
      </w:r>
      <w:r>
        <w:rPr/>
        <w:fldChar w:fldCharType="end"/>
      </w:r>
    </w:p>
    <w:p>
      <w:pPr>
        <w:pStyle w:val="Normal"/>
        <w:widowControl/>
        <w:jc w:val="both"/>
        <w:rPr/>
      </w:pPr>
      <w:r>
        <w:rPr/>
      </w:r>
    </w:p>
    <w:p>
      <w:pPr>
        <w:pStyle w:val="Normal"/>
        <w:widowControl/>
        <w:tabs>
          <w:tab w:val="clear" w:pos="720"/>
          <w:tab w:val="left" w:pos="-1440" w:leader="none"/>
        </w:tabs>
        <w:ind w:hanging="1440" w:start="1440" w:end="720"/>
        <w:jc w:val="both"/>
        <w:rPr/>
      </w:pPr>
      <w:r>
        <w:rPr/>
        <w:t>RE:</w:t>
        <w:tab/>
        <w:tab/>
        <w:t>FERC Regulatory Jurisdiction over Tennessee Valley Authority</w:t>
      </w:r>
    </w:p>
    <w:p>
      <w:pPr>
        <w:pStyle w:val="Normal"/>
        <w:widowControl/>
        <w:ind w:firstLine="1440" w:end="0"/>
        <w:jc w:val="both"/>
        <w:rPr/>
      </w:pPr>
      <w:r>
        <w:rPr/>
        <w:t>_________________________________________________</w:t>
      </w:r>
    </w:p>
    <w:p>
      <w:pPr>
        <w:pStyle w:val="Normal"/>
        <w:widowControl/>
        <w:jc w:val="both"/>
        <w:rPr/>
      </w:pPr>
      <w:r>
        <w:rPr/>
      </w:r>
    </w:p>
    <w:p>
      <w:pPr>
        <w:pStyle w:val="Normal"/>
        <w:widowControl/>
        <w:ind w:firstLine="720" w:end="0"/>
        <w:jc w:val="both"/>
        <w:rPr/>
      </w:pPr>
      <w:r>
        <w:rPr/>
        <w:t>This memorandum responds to your request for our analysis of the regulatory  authority of the Federal Energy Regulatory Commission ("FERC") over the Tennessee Valley Authority ("TVA") with respect to TVA's withholding certain control-area benefits from the Enron Southeast ("ENSE") control area.</w:t>
      </w:r>
    </w:p>
    <w:p>
      <w:pPr>
        <w:pStyle w:val="Normal"/>
        <w:widowControl/>
        <w:jc w:val="both"/>
        <w:rPr/>
      </w:pPr>
      <w:r>
        <w:rPr/>
      </w:r>
    </w:p>
    <w:p>
      <w:pPr>
        <w:pStyle w:val="Normal"/>
        <w:widowControl/>
        <w:tabs>
          <w:tab w:val="clear" w:pos="720"/>
          <w:tab w:val="left" w:pos="-1440" w:leader="none"/>
        </w:tabs>
        <w:ind w:hanging="720" w:start="1440" w:end="1440"/>
        <w:jc w:val="both"/>
        <w:rPr>
          <w:b/>
          <w:bCs/>
          <w:i/>
          <w:i/>
          <w:iCs/>
        </w:rPr>
      </w:pPr>
      <w:r>
        <w:rPr>
          <w:b/>
          <w:bCs/>
          <w:i/>
          <w:iCs/>
        </w:rPr>
        <w:t>1.</w:t>
        <w:tab/>
        <w:t xml:space="preserve">Does the Federal Energy Regulatory Commission Possess Regulatory Authority over TVA? </w:t>
      </w:r>
    </w:p>
    <w:p>
      <w:pPr>
        <w:pStyle w:val="Normal"/>
        <w:widowControl/>
        <w:jc w:val="both"/>
        <w:rPr/>
      </w:pPr>
      <w:r>
        <w:rPr/>
      </w:r>
    </w:p>
    <w:p>
      <w:pPr>
        <w:pStyle w:val="Normal"/>
        <w:widowControl/>
        <w:ind w:firstLine="720" w:end="0"/>
        <w:jc w:val="both"/>
        <w:rPr/>
      </w:pPr>
      <w:r>
        <w:rPr/>
        <w:t xml:space="preserve">Generally, the TVA is not subject to the Federal Energy Regulatory Commission's ("FERC") jurisdiction under the Federal Power Act ("FPA") because it is not a "public utility" as defined in the FPA.  FERC is thus generally without jurisdiction under FPA sections 205 and 206 to prescribe TVA's rates for transmission service.  </w:t>
      </w:r>
    </w:p>
    <w:p>
      <w:pPr>
        <w:pStyle w:val="Normal"/>
        <w:widowControl/>
        <w:jc w:val="both"/>
        <w:rPr/>
      </w:pPr>
      <w:r>
        <w:rPr/>
      </w:r>
    </w:p>
    <w:p>
      <w:pPr>
        <w:sectPr>
          <w:type w:val="nextPage"/>
          <w:pgSz w:w="12240" w:h="15840"/>
          <w:pgMar w:left="1440" w:right="1440" w:gutter="0" w:header="0" w:top="1440" w:footer="0" w:bottom="1440"/>
          <w:pgNumType w:fmt="decimal"/>
          <w:formProt w:val="false"/>
          <w:textDirection w:val="lrTb"/>
        </w:sectPr>
      </w:pPr>
    </w:p>
    <w:p>
      <w:pPr>
        <w:pStyle w:val="Normal"/>
        <w:widowControl/>
        <w:ind w:firstLine="720" w:end="0"/>
        <w:jc w:val="both"/>
        <w:rPr/>
      </w:pPr>
      <w:r>
        <w:rPr/>
        <w:t xml:space="preserve">There is one exception, however.  Because TVA is an "electric utility"and a "transmitting utility," as defined in FPA section 3(23), it is subject to FERC's limited jurisdiction to grant an application under FPA sections n210,  211 and 212 seeking interconnection with or transmission from TVA.  Specifically, under sections 210 and 211, an electric utility, federal power marketing agency, or any other entity generating electric energy for sale, may apply to FERC for an order requiring a transmitting utility, such as the TVA, to interconnect with the applicant or  provide transmission services to the applicant.  Section 212(j) limits the transmission that TVA can be required to provide under section 211 to through or out service; no order can be issued requiring transmission to load within TVA's service territory (within the TVA "fence").  </w:t>
      </w:r>
    </w:p>
    <w:p>
      <w:pPr>
        <w:pStyle w:val="Normal"/>
        <w:widowControl/>
        <w:jc w:val="both"/>
        <w:rPr/>
      </w:pPr>
      <w:r>
        <w:rPr/>
      </w:r>
    </w:p>
    <w:p>
      <w:pPr>
        <w:pStyle w:val="Normal"/>
        <w:widowControl/>
        <w:ind w:firstLine="720" w:end="0"/>
        <w:jc w:val="both"/>
        <w:rPr/>
      </w:pPr>
      <w:r>
        <w:rPr/>
        <w:t xml:space="preserve">Section 212 authorizes the Commission to prescribe rates related to the transmission service ordered under section 211.  Under Section 212(a), the Commission is required to establish non-discriminatory, just and reasonable rates for transmission ordered under section 211.  Thus, the Commission may review and prescribe the rates charged by TVA for transmission service ordered under Section 211.  </w:t>
      </w:r>
      <w:r>
        <w:rPr>
          <w:i/>
          <w:iCs/>
        </w:rPr>
        <w:t>See</w:t>
      </w:r>
      <w:r>
        <w:rPr/>
        <w:t xml:space="preserve"> </w:t>
      </w:r>
      <w:r>
        <w:rPr>
          <w:i/>
          <w:iCs/>
        </w:rPr>
        <w:t>Cinergy Services</w:t>
      </w:r>
      <w:r>
        <w:rPr/>
        <w:t xml:space="preserve">, 81 F.E.R.C. ¶ 61,243 at 62,050 (1997) (FERC exercised authority to prescribe rates for TVA transmission order under section 211); </w:t>
      </w:r>
      <w:r>
        <w:rPr>
          <w:i/>
          <w:iCs/>
        </w:rPr>
        <w:t>AES Power, Inc.,</w:t>
      </w:r>
      <w:r>
        <w:rPr/>
        <w:t xml:space="preserve"> 69 F.E.R.C. ¶ 61,345 at 61,301-02 (1994) (acting under section 212, FERC allowed AES and TVA to negotiate the terms, conditions and rates of transmission service, but stated that if the parties cannot come to terms within a reasonable period of time, FERC  will prescribe the terms of service).</w:t>
      </w:r>
      <w:r>
        <w:rPr>
          <w:rStyle w:val="FootnoteCharacters"/>
          <w:rStyle w:val="FootnoteReference"/>
          <w:vertAlign w:val="superscript"/>
        </w:rPr>
        <w:footnoteReference w:id="2"/>
      </w:r>
    </w:p>
    <w:p>
      <w:pPr>
        <w:pStyle w:val="Normal"/>
        <w:widowControl/>
        <w:jc w:val="both"/>
        <w:rPr/>
      </w:pPr>
      <w:r>
        <w:rPr/>
        <w:t xml:space="preserve"> </w:t>
      </w:r>
    </w:p>
    <w:p>
      <w:pPr>
        <w:pStyle w:val="Normal"/>
        <w:widowControl/>
        <w:tabs>
          <w:tab w:val="clear" w:pos="720"/>
          <w:tab w:val="left" w:pos="-1440" w:leader="none"/>
        </w:tabs>
        <w:ind w:hanging="720" w:start="1440" w:end="0"/>
        <w:jc w:val="both"/>
        <w:rPr>
          <w:b/>
          <w:bCs/>
          <w:i/>
          <w:i/>
          <w:iCs/>
        </w:rPr>
      </w:pPr>
      <w:r>
        <w:rPr>
          <w:b/>
          <w:bCs/>
          <w:i/>
          <w:iCs/>
        </w:rPr>
        <w:t>2.</w:t>
        <w:tab/>
        <w:t>Can Sections 210 and 211 Be Used to Obtain Full Control-Area Benefits for Enron Southeast?</w:t>
      </w:r>
    </w:p>
    <w:p>
      <w:pPr>
        <w:pStyle w:val="Normal"/>
        <w:widowControl/>
        <w:jc w:val="both"/>
        <w:rPr>
          <w:b/>
          <w:bCs/>
          <w:i/>
          <w:i/>
          <w:iCs/>
        </w:rPr>
      </w:pPr>
      <w:r>
        <w:rPr>
          <w:b/>
          <w:bCs/>
          <w:i/>
          <w:iCs/>
        </w:rPr>
      </w:r>
    </w:p>
    <w:p>
      <w:pPr>
        <w:pStyle w:val="Normal"/>
        <w:widowControl/>
        <w:ind w:firstLine="720" w:end="0"/>
        <w:jc w:val="both"/>
        <w:rPr/>
      </w:pPr>
      <w:r>
        <w:rPr/>
        <w:t>It is our understanding that TVA is taking two positions that are inconsistent with recognition of ENSE as a control area.  First, TVA has questioned whether ENSE should be able to reserve capacity into its control area in advance of scheduling an actual power flow from source to sink (a practice referred to as "sinking" or "parking").  Second, TVA has sought to limit the amount of interchange that ENSE may schedule between its control area and TVA's control area to the capacity of a generation step-up transformer inside of ENSE's control area.</w:t>
      </w:r>
    </w:p>
    <w:p>
      <w:pPr>
        <w:pStyle w:val="Normal"/>
        <w:widowControl/>
        <w:jc w:val="both"/>
        <w:rPr/>
      </w:pPr>
      <w:r>
        <w:rPr/>
      </w:r>
    </w:p>
    <w:p>
      <w:pPr>
        <w:pStyle w:val="Normal"/>
        <w:widowControl/>
        <w:ind w:firstLine="720" w:end="0"/>
        <w:jc w:val="both"/>
        <w:rPr/>
      </w:pPr>
      <w:r>
        <w:rPr/>
        <w:t>Under section 210, ENSE (as an "electric utility" under FPA section 3(22)) could go to FERC for an order requiring TVA (also an "electric utility” under FPA section 3(22)) to interconnect.  FERC is barred from issuing an order requiring interconnection under section 210 unless it makes one of three determination in connection with issuing the order:</w:t>
      </w:r>
    </w:p>
    <w:p>
      <w:pPr>
        <w:pStyle w:val="Normal"/>
        <w:widowControl/>
        <w:jc w:val="both"/>
        <w:rPr/>
      </w:pPr>
      <w:r>
        <w:rPr/>
      </w:r>
    </w:p>
    <w:p>
      <w:pPr>
        <w:pStyle w:val="Level1"/>
        <w:widowControl/>
        <w:numPr>
          <w:ilvl w:val="0"/>
          <w:numId w:val="1"/>
        </w:numPr>
        <w:tabs>
          <w:tab w:val="clear" w:pos="720"/>
          <w:tab w:val="left" w:pos="0" w:leader="none"/>
        </w:tabs>
        <w:ind w:hanging="1440" w:start="2160"/>
        <w:jc w:val="both"/>
        <w:rPr/>
      </w:pPr>
      <w:r>
        <w:rPr/>
        <w:t>it is in the public interest;</w:t>
      </w:r>
    </w:p>
    <w:p>
      <w:pPr>
        <w:pStyle w:val="Level1"/>
        <w:widowControl/>
        <w:numPr>
          <w:ilvl w:val="0"/>
          <w:numId w:val="1"/>
        </w:numPr>
        <w:tabs>
          <w:tab w:val="clear" w:pos="720"/>
          <w:tab w:val="left" w:pos="0" w:leader="none"/>
        </w:tabs>
        <w:ind w:hanging="1440" w:start="2160"/>
        <w:jc w:val="both"/>
        <w:rPr/>
      </w:pPr>
      <w:r>
        <w:rPr/>
        <w:t>would encourage overall conservation of energy or capital; or optimize the efficiency  of use of facilities and resources; or improve the reliability of any electric utility system; and</w:t>
      </w:r>
    </w:p>
    <w:p>
      <w:pPr>
        <w:pStyle w:val="Level1"/>
        <w:widowControl/>
        <w:numPr>
          <w:ilvl w:val="0"/>
          <w:numId w:val="1"/>
        </w:numPr>
        <w:tabs>
          <w:tab w:val="clear" w:pos="720"/>
          <w:tab w:val="left" w:pos="0" w:leader="none"/>
        </w:tabs>
        <w:ind w:hanging="1440" w:start="2160"/>
        <w:jc w:val="both"/>
        <w:rPr/>
      </w:pPr>
      <w:r>
        <w:rPr/>
        <w:t xml:space="preserve">meet the requirements of section 212. </w:t>
      </w:r>
    </w:p>
    <w:p>
      <w:pPr>
        <w:pStyle w:val="Normal"/>
        <w:widowControl/>
        <w:jc w:val="both"/>
        <w:rPr/>
      </w:pPr>
      <w:r>
        <w:rPr/>
      </w:r>
    </w:p>
    <w:p>
      <w:pPr>
        <w:sectPr>
          <w:footnotePr>
            <w:numFmt w:val="decimal"/>
          </w:footnotePr>
          <w:type w:val="continuous"/>
          <w:pgSz w:w="12240" w:h="15840"/>
          <w:pgMar w:left="1440" w:right="1440" w:gutter="0" w:header="0" w:top="1440" w:footer="0" w:bottom="1440"/>
          <w:formProt w:val="false"/>
          <w:textDirection w:val="lrTb"/>
        </w:sectPr>
      </w:pPr>
    </w:p>
    <w:p>
      <w:pPr>
        <w:pStyle w:val="Normal"/>
        <w:widowControl/>
        <w:jc w:val="both"/>
        <w:rPr/>
      </w:pPr>
      <w:r>
        <w:rPr/>
        <w:t xml:space="preserve">16 U.S.C. § 824i(b) (1994).  The relevant requirements of section 212 include provisions empowering FERC to propose to the parties terms and conditions of the interconnection "including the apportionment of costs between them."    </w:t>
      </w:r>
      <w:r>
        <w:rPr>
          <w:i/>
          <w:iCs/>
        </w:rPr>
        <w:t xml:space="preserve">Id. </w:t>
      </w:r>
      <w:r>
        <w:rPr/>
        <w:t xml:space="preserve"> § 824k(c).  Whatever rates, terms and conditions are ultimately implemented "shall be subject to the approval of [FERC]."  </w:t>
      </w:r>
      <w:r>
        <w:rPr>
          <w:i/>
          <w:iCs/>
        </w:rPr>
        <w:t>Id.</w:t>
      </w:r>
      <w:r>
        <w:rPr/>
        <w:t xml:space="preserve"> </w:t>
      </w:r>
    </w:p>
    <w:p>
      <w:pPr>
        <w:pStyle w:val="Normal"/>
        <w:widowControl/>
        <w:jc w:val="both"/>
        <w:rPr/>
      </w:pPr>
      <w:r>
        <w:rPr/>
        <w:t xml:space="preserve">  </w:t>
      </w:r>
    </w:p>
    <w:p>
      <w:pPr>
        <w:pStyle w:val="Normal"/>
        <w:widowControl/>
        <w:ind w:firstLine="720" w:end="0"/>
        <w:jc w:val="both"/>
        <w:rPr/>
      </w:pPr>
      <w:r>
        <w:rPr/>
        <w:t>As ENSE and TVA are already interconnected pursuant to an interconnection agreement, the ability to obtain such an order would not increase ENSE's control-area benefits.  The utility of section 211 to ENSE is likewise slight.  Under 211, ENSE could seek a point-to-point transmission order for a wheel of a specific amount of power through or out of TVA, specifying specific receipt and delivery points on the TVA system.  If the application were granted, FERC would set reasonable rates, terms and conditions for the point-to-point service reserved.</w:t>
      </w:r>
    </w:p>
    <w:p>
      <w:pPr>
        <w:pStyle w:val="Normal"/>
        <w:widowControl/>
        <w:jc w:val="both"/>
        <w:rPr/>
      </w:pPr>
      <w:r>
        <w:rPr/>
      </w:r>
    </w:p>
    <w:p>
      <w:pPr>
        <w:pStyle w:val="Normal"/>
        <w:widowControl/>
        <w:ind w:firstLine="720" w:end="0"/>
        <w:jc w:val="both"/>
        <w:rPr/>
      </w:pPr>
      <w:r>
        <w:rPr/>
        <w:t xml:space="preserve">With respect to TVA’s threat to limit the interchange transfer capability of its interconnection with ENSE, neither section 210 nor section 211 appear to offer ENSE potential relief; posting accurate ATC information is an Order No. 889 obligation, and TVA is not subject to Order No. 889.  A section 211 order could secure only the amount of ATC that ENSE would be willing to reserve on a firm basis; section 210 could secure only the capacity of the generator(s) being interconnected.  Neither statutory option gets ENSE the level of interchange ATC that it received when it first came on line.   </w:t>
      </w:r>
    </w:p>
    <w:p>
      <w:pPr>
        <w:pStyle w:val="Normal"/>
        <w:widowControl/>
        <w:jc w:val="both"/>
        <w:rPr/>
      </w:pPr>
      <w:r>
        <w:rPr/>
      </w:r>
    </w:p>
    <w:p>
      <w:pPr>
        <w:pStyle w:val="Normal"/>
        <w:widowControl/>
        <w:ind w:firstLine="720" w:end="0"/>
        <w:jc w:val="both"/>
        <w:rPr/>
      </w:pPr>
      <w:r>
        <w:rPr/>
        <w:t xml:space="preserve">In short, neither section 210 nor section 211 appear to offer any relief from TVA's decision to question ENSE's authority as a control area to sink power into its control area or to schedule interchange in excess of the capacity of its generation step-up transformer.  In connection with interconnection of future generation control areas, section 210 may be the appropriate vehicle for securing interconnection on reasonable terms and conditions, including interconnection charges, but it will not serve to secure interchange ATC beyond the capacity of the interconnected generator(s). .   </w:t>
      </w:r>
    </w:p>
    <w:p>
      <w:pPr>
        <w:pStyle w:val="Normal"/>
        <w:widowControl/>
        <w:jc w:val="both"/>
        <w:rPr/>
      </w:pPr>
      <w:r>
        <w:rPr/>
      </w:r>
    </w:p>
    <w:p>
      <w:pPr>
        <w:pStyle w:val="Normal"/>
        <w:widowControl/>
        <w:tabs>
          <w:tab w:val="clear" w:pos="720"/>
          <w:tab w:val="left" w:pos="-1440" w:leader="none"/>
        </w:tabs>
        <w:ind w:hanging="720" w:start="1440" w:end="1440"/>
        <w:jc w:val="both"/>
        <w:rPr>
          <w:b/>
          <w:bCs/>
          <w:i/>
          <w:i/>
          <w:iCs/>
        </w:rPr>
      </w:pPr>
      <w:r>
        <w:rPr>
          <w:b/>
          <w:bCs/>
          <w:i/>
          <w:iCs/>
        </w:rPr>
        <w:t>3.</w:t>
        <w:tab/>
        <w:t>What is the Appropriate Venue for a Dispute with TVA?</w:t>
      </w:r>
    </w:p>
    <w:p>
      <w:pPr>
        <w:pStyle w:val="Normal"/>
        <w:widowControl/>
        <w:jc w:val="both"/>
        <w:rPr/>
      </w:pPr>
      <w:r>
        <w:rPr/>
      </w:r>
    </w:p>
    <w:p>
      <w:pPr>
        <w:pStyle w:val="Normal"/>
        <w:widowControl/>
        <w:ind w:firstLine="720" w:end="270"/>
        <w:jc w:val="both"/>
        <w:rPr/>
      </w:pPr>
      <w:r>
        <w:rPr/>
        <w:t>Because FERC has no authority over the TVA outside of its limited jurisdiction under FPA sections 210 and 211 to issue interconnection orders and through-or-out transmission orders</w:t>
      </w:r>
      <w:r>
        <w:rPr>
          <w:i/>
          <w:iCs/>
        </w:rPr>
        <w:t xml:space="preserve"> see, e.g., SCC-L1</w:t>
      </w:r>
      <w:r>
        <w:rPr/>
        <w:t>, 87 F.E.R.C. ¶ 61,071 at 61,293, n.1 (1999), FERC is not the appropriate venue for any dispute not arising from a request for a transmission order under FPA sections 210 or 211</w:t>
      </w:r>
    </w:p>
    <w:p>
      <w:pPr>
        <w:pStyle w:val="Normal"/>
        <w:widowControl/>
        <w:ind w:end="270"/>
        <w:jc w:val="both"/>
        <w:rPr/>
      </w:pPr>
      <w:r>
        <w:rPr/>
        <w:t xml:space="preserve">.  </w:t>
      </w:r>
    </w:p>
    <w:p>
      <w:pPr>
        <w:sectPr>
          <w:footnotePr>
            <w:numFmt w:val="decimal"/>
          </w:footnotePr>
          <w:type w:val="continuous"/>
          <w:pgSz w:w="12240" w:h="15840"/>
          <w:pgMar w:left="1440" w:right="1440" w:gutter="0" w:header="0" w:top="1440" w:footer="0" w:bottom="1440"/>
          <w:formProt w:val="false"/>
          <w:textDirection w:val="lrTb"/>
        </w:sectPr>
      </w:pPr>
    </w:p>
    <w:p>
      <w:pPr>
        <w:pStyle w:val="Normal"/>
        <w:widowControl/>
        <w:ind w:firstLine="720" w:end="0"/>
        <w:jc w:val="both"/>
        <w:rPr/>
      </w:pPr>
      <w:r>
        <w:rPr/>
        <w:t xml:space="preserve">TVA is vested with great statutory discretion in prescribing the rates terms and conditions upon which it will provide power sales and transmission service. 16 U.S.C. §831i (1994).  </w:t>
      </w:r>
      <w:r>
        <w:rPr>
          <w:i/>
          <w:iCs/>
        </w:rPr>
        <w:t>See Four County Electric Power Assoc. v. TVA</w:t>
      </w:r>
      <w:r>
        <w:rPr/>
        <w:t xml:space="preserve">, 930 F. Supp. 1132, 1138 (S.D. Miss.1996); </w:t>
      </w:r>
      <w:r>
        <w:rPr>
          <w:i/>
          <w:iCs/>
        </w:rPr>
        <w:t>Consolidated Aluminum Corp. v. TVA</w:t>
      </w:r>
      <w:r>
        <w:rPr/>
        <w:t>, 462 F.Supp. 464, 474 (M.D. Tenn. 1978);</w:t>
      </w:r>
      <w:r>
        <w:rPr>
          <w:i/>
          <w:iCs/>
        </w:rPr>
        <w:t xml:space="preserve"> Mobil Oil Corp. v. TVA</w:t>
      </w:r>
      <w:r>
        <w:rPr/>
        <w:t xml:space="preserve">, 387 F.Supp 498, 507 (N.D. Ala. 1974).  As an instrumentality of  the federal government, and, because it has broad statutory authority to set rates, its rate-setting actions (including terms and conditions of service) are generally immune from judicial review.  </w:t>
      </w:r>
      <w:r>
        <w:rPr>
          <w:i/>
          <w:iCs/>
        </w:rPr>
        <w:t>See</w:t>
      </w:r>
      <w:r>
        <w:rPr/>
        <w:t xml:space="preserve"> </w:t>
      </w:r>
      <w:r>
        <w:rPr>
          <w:i/>
          <w:iCs/>
        </w:rPr>
        <w:t>Four County Electric Power Assoc.</w:t>
      </w:r>
      <w:r>
        <w:rPr/>
        <w:t xml:space="preserve">, 930 F.Supp. at 1137 (court found that TVA's rate-making decisions were beyond the scope of judicial review under the Administrative Procedure Act, 5 U.S.C.§ 701(a)(2), which states that agency actions that are committed to agency discretion by law are unreviewable); </w:t>
      </w:r>
      <w:r>
        <w:rPr>
          <w:i/>
          <w:iCs/>
        </w:rPr>
        <w:t>Carborundum Co. v. Tennessee Valley Authority</w:t>
      </w:r>
      <w:r>
        <w:rPr/>
        <w:t xml:space="preserve">, 521 F. Supp. 590, 593 (E.D. Tenn. 1981) (court found that there is a "well established legal principal that the setting of power rates under the Tennessee Valley Authority Act is not subject to judicial review."). </w:t>
      </w:r>
      <w:r>
        <w:rPr>
          <w:i/>
          <w:iCs/>
        </w:rPr>
        <w:t>See also</w:t>
      </w:r>
      <w:r>
        <w:rPr/>
        <w:t xml:space="preserve"> </w:t>
      </w:r>
      <w:r>
        <w:rPr>
          <w:i/>
          <w:iCs/>
        </w:rPr>
        <w:t>Hoke Co. v. TVA</w:t>
      </w:r>
      <w:r>
        <w:rPr/>
        <w:t xml:space="preserve">, 854 F.2d 820, 826 (6th Cir. 1988), </w:t>
      </w:r>
      <w:r>
        <w:rPr>
          <w:i/>
          <w:iCs/>
        </w:rPr>
        <w:t>citing PRI Pipe Supports v. Tennessee Valley Authority</w:t>
      </w:r>
      <w:r>
        <w:rPr/>
        <w:t xml:space="preserve">, 494 F. Supp. 974, 977 (N.D. Miss. 1980)(court held that because TVA was given broad Congressional authority to enter into contracts to carry out its powers, judicial review of its contracting decisions is unavailable under the APA).  </w:t>
      </w:r>
    </w:p>
    <w:p>
      <w:pPr>
        <w:pStyle w:val="Normal"/>
        <w:widowControl/>
        <w:ind w:firstLine="720" w:end="0"/>
        <w:jc w:val="both"/>
        <w:rPr/>
      </w:pPr>
      <w:r>
        <w:rPr/>
        <w:t xml:space="preserve">For commercial disputes with TVA not involving the rates, terms or conditions of the services that TVA provides, the appropriate venue is a federal district court.   Thus, for breach of  a power sale or purchase agreement, venue would lie in federal district court.  (As an agency and </w:t>
      </w:r>
    </w:p>
    <w:p>
      <w:pPr>
        <w:sectPr>
          <w:footnotePr>
            <w:numFmt w:val="decimal"/>
          </w:footnotePr>
          <w:type w:val="continuous"/>
          <w:pgSz w:w="12240" w:h="15840"/>
          <w:pgMar w:left="1440" w:right="1710" w:gutter="0" w:header="0" w:top="1440" w:footer="0" w:bottom="1440"/>
          <w:formProt w:val="false"/>
          <w:textDirection w:val="lrTb"/>
        </w:sectPr>
      </w:pPr>
    </w:p>
    <w:p>
      <w:pPr>
        <w:pStyle w:val="Normal"/>
        <w:widowControl/>
        <w:ind w:end="270"/>
        <w:jc w:val="both"/>
        <w:rPr/>
      </w:pPr>
      <w:r>
        <w:rPr/>
        <w:t xml:space="preserve">instrumentality of the United States, TVA is not amenable to the jurisdiction of state courts.)  TVA does not enjoy general sovereign immunity, however, it is expressly exempted from federal antitrust laws. </w:t>
      </w:r>
    </w:p>
    <w:p>
      <w:pPr>
        <w:pStyle w:val="Normal"/>
        <w:widowControl/>
        <w:ind w:firstLine="720" w:end="270"/>
        <w:jc w:val="both"/>
        <w:rPr/>
      </w:pPr>
      <w:r>
        <w:rPr/>
        <w:t>Although the TVA's enabling legislation does not expressly require arbitration for a dispute with the TVA, the power sales agreement may contain an arbitration clause, which may impose an obligation on the parties to arbitrate.</w:t>
      </w:r>
    </w:p>
    <w:p>
      <w:pPr>
        <w:pStyle w:val="Normal"/>
        <w:widowControl/>
        <w:ind w:end="270"/>
        <w:jc w:val="both"/>
        <w:rPr/>
      </w:pPr>
      <w:r>
        <w:rPr/>
      </w:r>
    </w:p>
    <w:p>
      <w:pPr>
        <w:pStyle w:val="Normal"/>
        <w:widowControl/>
        <w:ind w:firstLine="4320" w:end="270"/>
        <w:jc w:val="both"/>
        <w:rPr/>
      </w:pPr>
      <w:r>
        <w:rPr/>
        <w:t>JDW</w:t>
      </w:r>
    </w:p>
    <w:p>
      <w:pPr>
        <w:pStyle w:val="Normal"/>
        <w:widowControl/>
        <w:ind w:firstLine="4320" w:end="270"/>
        <w:jc w:val="both"/>
        <w:rPr/>
      </w:pPr>
      <w:r>
        <w:rPr/>
        <w:t>KAC</w:t>
      </w:r>
    </w:p>
    <w:p>
      <w:pPr>
        <w:pStyle w:val="Normal"/>
        <w:widowControl/>
        <w:ind w:end="270"/>
        <w:jc w:val="both"/>
        <w:rPr/>
      </w:pPr>
      <w:r>
        <w:rPr/>
      </w:r>
    </w:p>
    <w:p>
      <w:pPr>
        <w:pStyle w:val="Normal"/>
        <w:widowControl/>
        <w:ind w:end="270"/>
        <w:jc w:val="both"/>
        <w:rPr/>
      </w:pPr>
      <w:r>
        <w:rPr/>
      </w:r>
    </w:p>
    <w:p>
      <w:pPr>
        <w:pStyle w:val="Normal"/>
        <w:widowControl/>
        <w:ind w:end="270"/>
        <w:jc w:val="both"/>
        <w:rPr/>
      </w:pPr>
      <w:r>
        <w:rPr/>
        <w:t>/kac</w:t>
      </w:r>
    </w:p>
    <w:sectPr>
      <w:footnotePr>
        <w:numFmt w:val="decimal"/>
      </w:footnotePr>
      <w:type w:val="continuous"/>
      <w:pgSz w:w="12240" w:h="15840"/>
      <w:pgMar w:left="1440" w:right="1440" w:gutter="0" w:header="0" w:top="1440" w:footer="0" w:bottom="1440"/>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start="432" w:end="288"/>
        <w:jc w:val="both"/>
        <w:rPr/>
      </w:pPr>
      <w:r>
        <w:rPr>
          <w:rStyle w:val="FootnoteCharacters"/>
        </w:rPr>
        <w:footnoteRef/>
      </w:r>
      <w:r>
        <w:rPr/>
        <w:t xml:space="preserve">  </w:t>
      </w:r>
      <w:r>
        <w:rPr>
          <w:sz w:val="22"/>
          <w:szCs w:val="22"/>
        </w:rPr>
        <w:t xml:space="preserve">Furthermore, because TVA is not a public utility under Section 201(e) of the FPA, it is not subject to the open access mandates of Order No. 888, and accordingly, is not required to file an open access tariff.  </w:t>
      </w:r>
      <w:r>
        <w:rPr>
          <w:i/>
          <w:iCs/>
          <w:sz w:val="22"/>
          <w:szCs w:val="22"/>
        </w:rPr>
        <w:t>Order No. 888</w:t>
      </w:r>
      <w:r>
        <w:rPr>
          <w:sz w:val="22"/>
          <w:szCs w:val="22"/>
        </w:rPr>
        <w:t xml:space="preserve"> at 31,858.  For the same reason, TVA is not subject t the OASIS reporting and posting requirements of Order No. 889.</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ind w:hanging="720" w:start="1440" w:end="0"/>
    </w:pPr>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1999-07-22T19:30:00Z</dcterms:created>
  <dc:creator>appinst</dc:creator>
  <dc:description/>
  <dc:language>en-CA</dc:language>
  <cp:lastModifiedBy>appinst</cp:lastModifiedBy>
  <dcterms:modified xsi:type="dcterms:W3CDTF">1999-07-22T19:44:00Z</dcterms:modified>
  <cp:revision>2</cp:revision>
  <dc:subject/>
  <dc:title/>
</cp:coreProperties>
</file>