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February 4, 2000</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W. Terry Boston</w:t>
      </w:r>
    </w:p>
    <w:p>
      <w:pPr>
        <w:pStyle w:val="Normal"/>
        <w:jc w:val="both"/>
        <w:rPr>
          <w:sz w:val="24"/>
          <w:szCs w:val="24"/>
        </w:rPr>
      </w:pPr>
      <w:r>
        <w:rPr>
          <w:sz w:val="24"/>
          <w:szCs w:val="24"/>
        </w:rPr>
        <w:t>Executive Vice President</w:t>
      </w:r>
    </w:p>
    <w:p>
      <w:pPr>
        <w:pStyle w:val="Normal"/>
        <w:jc w:val="both"/>
        <w:rPr>
          <w:sz w:val="24"/>
          <w:szCs w:val="24"/>
        </w:rPr>
      </w:pPr>
      <w:r>
        <w:rPr>
          <w:sz w:val="24"/>
          <w:szCs w:val="24"/>
        </w:rPr>
        <w:t>Transmission/Power Supply Group</w:t>
      </w:r>
    </w:p>
    <w:p>
      <w:pPr>
        <w:pStyle w:val="Normal"/>
        <w:jc w:val="both"/>
        <w:rPr>
          <w:sz w:val="24"/>
          <w:szCs w:val="24"/>
        </w:rPr>
      </w:pPr>
      <w:r>
        <w:rPr>
          <w:sz w:val="24"/>
          <w:szCs w:val="24"/>
        </w:rPr>
        <w:t>Tennessee Valley Authority</w:t>
      </w:r>
    </w:p>
    <w:p>
      <w:pPr>
        <w:pStyle w:val="Normal"/>
        <w:jc w:val="both"/>
        <w:rPr>
          <w:sz w:val="24"/>
          <w:szCs w:val="24"/>
        </w:rPr>
      </w:pPr>
      <w:r>
        <w:rPr>
          <w:sz w:val="24"/>
          <w:szCs w:val="24"/>
        </w:rPr>
        <w:t>1101 Market Street</w:t>
      </w:r>
    </w:p>
    <w:p>
      <w:pPr>
        <w:pStyle w:val="Normal"/>
        <w:jc w:val="both"/>
        <w:rPr>
          <w:sz w:val="24"/>
          <w:szCs w:val="24"/>
        </w:rPr>
      </w:pPr>
      <w:r>
        <w:rPr>
          <w:sz w:val="24"/>
          <w:szCs w:val="24"/>
        </w:rPr>
        <w:t>Chattanooga, Tennessee  37402-2801</w:t>
      </w:r>
    </w:p>
    <w:p>
      <w:pPr>
        <w:pStyle w:val="Normal"/>
        <w:jc w:val="both"/>
        <w:rPr>
          <w:sz w:val="24"/>
          <w:szCs w:val="24"/>
        </w:rPr>
      </w:pPr>
      <w:r>
        <w:rPr>
          <w:sz w:val="24"/>
          <w:szCs w:val="24"/>
        </w:rPr>
      </w:r>
    </w:p>
    <w:p>
      <w:pPr>
        <w:pStyle w:val="Normal"/>
        <w:jc w:val="both"/>
        <w:rPr>
          <w:sz w:val="24"/>
          <w:szCs w:val="24"/>
        </w:rPr>
      </w:pPr>
      <w:r>
        <w:rPr>
          <w:sz w:val="24"/>
          <w:szCs w:val="24"/>
        </w:rPr>
        <w:t>Dear Mr. Boston:</w:t>
      </w:r>
    </w:p>
    <w:p>
      <w:pPr>
        <w:pStyle w:val="Normal"/>
        <w:jc w:val="both"/>
        <w:rPr>
          <w:sz w:val="24"/>
          <w:szCs w:val="24"/>
        </w:rPr>
      </w:pPr>
      <w:r>
        <w:rPr>
          <w:sz w:val="24"/>
          <w:szCs w:val="24"/>
        </w:rPr>
      </w:r>
    </w:p>
    <w:p>
      <w:pPr>
        <w:pStyle w:val="Normal"/>
        <w:jc w:val="both"/>
        <w:rPr>
          <w:sz w:val="24"/>
          <w:szCs w:val="24"/>
        </w:rPr>
      </w:pPr>
      <w:r>
        <w:rPr>
          <w:sz w:val="24"/>
          <w:szCs w:val="24"/>
        </w:rPr>
        <w:t>Enron Power Marketing, Inc. (“EPMI”) has 148 transmission requests outstanding in “study” status on TVA’s OASIS.  These requests were all submitted by EPMI during the period from October 14, 1999 through December 7, 1999.  All of the requests are for monthly firm transmission in the Summer 2000 with one of the Enron control areas (ENNA, ENCA, ENSE) as the Point of Receipt.  (List of outstanding requests attached).</w:t>
      </w:r>
    </w:p>
    <w:p>
      <w:pPr>
        <w:pStyle w:val="Normal"/>
        <w:jc w:val="both"/>
        <w:rPr>
          <w:sz w:val="24"/>
          <w:szCs w:val="24"/>
        </w:rPr>
      </w:pPr>
      <w:r>
        <w:rPr>
          <w:sz w:val="24"/>
          <w:szCs w:val="24"/>
        </w:rPr>
      </w:r>
    </w:p>
    <w:p>
      <w:pPr>
        <w:pStyle w:val="Normal"/>
        <w:jc w:val="both"/>
        <w:rPr>
          <w:sz w:val="24"/>
          <w:szCs w:val="24"/>
        </w:rPr>
      </w:pPr>
      <w:r>
        <w:rPr>
          <w:sz w:val="24"/>
          <w:szCs w:val="24"/>
        </w:rPr>
        <w:t>Tennessee Valley Authority’s (“TVA”) lack of action on these requests is in direct violation of its Transmission Service Guidelines (“Guidelines”).  Section 17.5 (Response to a Completed Application for Firm Service) states:</w:t>
      </w:r>
    </w:p>
    <w:p>
      <w:pPr>
        <w:pStyle w:val="Normal"/>
        <w:jc w:val="both"/>
        <w:rPr>
          <w:sz w:val="24"/>
          <w:szCs w:val="24"/>
        </w:rPr>
      </w:pPr>
      <w:r>
        <w:rPr>
          <w:sz w:val="24"/>
          <w:szCs w:val="24"/>
        </w:rPr>
      </w:r>
    </w:p>
    <w:p>
      <w:pPr>
        <w:pStyle w:val="Normal"/>
        <w:tabs>
          <w:tab w:val="clear" w:pos="720"/>
          <w:tab w:val="left" w:pos="7920" w:leader="none"/>
        </w:tabs>
        <w:ind w:hanging="720" w:start="720" w:end="720"/>
        <w:jc w:val="both"/>
        <w:rPr/>
      </w:pPr>
      <w:r>
        <w:rPr>
          <w:sz w:val="24"/>
          <w:szCs w:val="24"/>
        </w:rPr>
        <w:tab/>
        <w:t xml:space="preserve">Following receipt of a Completed Application for Firm Point-To-Point Transmission Service, TVA shall make a determination of Available Transmission Capability (“ATC”) as required in Section 15.2 (Determination of Available Transmission Capability).  </w:t>
      </w:r>
      <w:r>
        <w:rPr>
          <w:sz w:val="24"/>
          <w:szCs w:val="24"/>
          <w:u w:val="single"/>
        </w:rPr>
        <w:t>TVA shall notify the Eligible Customer as soon as practicable, but not later than thirty (30) days</w:t>
      </w:r>
      <w:r>
        <w:rPr>
          <w:sz w:val="24"/>
          <w:szCs w:val="24"/>
        </w:rPr>
        <w:t xml:space="preserve"> after the date of receipt of a Completed Application (or some other mutually agreed upon date) either (i) if it will be able to provide service without performing a System Impact Study or (ii) if such a study is needed to evaluate the impact of the Application pursuant to Section 19.1 (Notice of Need for System Impact Study).  Responses by TVA will be made as soon as practicable to all Completed Applications (including applications by TVA for its own Third-Party Sales) and the timing of such responses must be made on a non-discriminatory basis.  (Emphasis added).</w:t>
      </w:r>
      <w:r>
        <w:br w:type="page"/>
      </w:r>
    </w:p>
    <w:p>
      <w:pPr>
        <w:pStyle w:val="Normal"/>
        <w:jc w:val="both"/>
        <w:rPr>
          <w:sz w:val="24"/>
          <w:szCs w:val="24"/>
        </w:rPr>
      </w:pPr>
      <w:r>
        <w:rPr>
          <w:sz w:val="24"/>
          <w:szCs w:val="24"/>
        </w:rPr>
      </w:r>
    </w:p>
    <w:p>
      <w:pPr>
        <w:pStyle w:val="Normal"/>
        <w:jc w:val="both"/>
        <w:rPr>
          <w:sz w:val="24"/>
          <w:szCs w:val="24"/>
        </w:rPr>
      </w:pPr>
      <w:r>
        <w:rPr>
          <w:sz w:val="24"/>
          <w:szCs w:val="24"/>
        </w:rPr>
        <w:t>In violation of TVA’s own Guidelines and despite EPMI’s repeated requests to TVA transmission staff (and TVA staff’s assurances of action), TVA has taken no action on these requests.  Most of the paths requested by EPMI show Available Transmission Capability (“ATC”).  In spite of the apparent availability of ATC; however, TVA has neither agreed to provide EPMI service nor stated a system impact study is required.  It is entirely unacceptable for TVA to delay action on these requests, in some cases for almost four months.</w:t>
      </w:r>
    </w:p>
    <w:p>
      <w:pPr>
        <w:pStyle w:val="Normal"/>
        <w:jc w:val="both"/>
        <w:rPr>
          <w:sz w:val="24"/>
          <w:szCs w:val="24"/>
        </w:rPr>
      </w:pPr>
      <w:r>
        <w:rPr>
          <w:sz w:val="24"/>
          <w:szCs w:val="24"/>
        </w:rPr>
      </w:r>
    </w:p>
    <w:p>
      <w:pPr>
        <w:pStyle w:val="Normal"/>
        <w:jc w:val="both"/>
        <w:rPr/>
      </w:pPr>
      <w:r>
        <w:rPr>
          <w:sz w:val="24"/>
          <w:szCs w:val="24"/>
        </w:rPr>
        <w:t xml:space="preserve">Finally, it appears that TVA has granted monthly firm transmission to its own marketer within a shorter time limit on paths similar to those requested by EPMI.  It is of great concern that TVA’s requests were submitted </w:t>
      </w:r>
      <w:r>
        <w:rPr>
          <w:sz w:val="24"/>
          <w:szCs w:val="24"/>
          <w:u w:val="single"/>
        </w:rPr>
        <w:t>after</w:t>
      </w:r>
      <w:r>
        <w:rPr>
          <w:sz w:val="24"/>
          <w:szCs w:val="24"/>
        </w:rPr>
        <w:t xml:space="preserve"> EPMI’s requests.  (OASIS Nos. 500277-500293 for 200 MWs monthly firm transmission for summer 2000 from TVA to Ameren were submitted on October 19, 1999 and approved January 29, 2000.)</w:t>
      </w:r>
    </w:p>
    <w:p>
      <w:pPr>
        <w:pStyle w:val="Normal"/>
        <w:jc w:val="both"/>
        <w:rPr>
          <w:sz w:val="24"/>
          <w:szCs w:val="24"/>
        </w:rPr>
      </w:pPr>
      <w:r>
        <w:rPr>
          <w:sz w:val="24"/>
          <w:szCs w:val="24"/>
        </w:rPr>
      </w:r>
    </w:p>
    <w:p>
      <w:pPr>
        <w:pStyle w:val="Normal"/>
        <w:jc w:val="both"/>
        <w:rPr>
          <w:sz w:val="24"/>
          <w:szCs w:val="24"/>
        </w:rPr>
      </w:pPr>
      <w:r>
        <w:rPr>
          <w:sz w:val="24"/>
          <w:szCs w:val="24"/>
        </w:rPr>
        <w:t>EPMI requests that TVA act immediately on EPMI’s requests.  I am available at 713-853-3354.  I look forward to TVA’s prompt response.</w:t>
      </w:r>
    </w:p>
    <w:p>
      <w:pPr>
        <w:pStyle w:val="Normal"/>
        <w:jc w:val="both"/>
        <w:rPr>
          <w:sz w:val="24"/>
          <w:szCs w:val="24"/>
        </w:rPr>
      </w:pPr>
      <w:r>
        <w:rPr>
          <w:sz w:val="24"/>
          <w:szCs w:val="24"/>
        </w:rPr>
      </w:r>
    </w:p>
    <w:p>
      <w:pPr>
        <w:pStyle w:val="Normal"/>
        <w:jc w:val="both"/>
        <w:rPr>
          <w:sz w:val="24"/>
          <w:szCs w:val="24"/>
        </w:rPr>
      </w:pPr>
      <w:r>
        <w:rPr>
          <w:sz w:val="24"/>
          <w:szCs w:val="24"/>
        </w:rPr>
        <w:t>Very truly yours,</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James B. Fallon</w:t>
      </w:r>
    </w:p>
    <w:p>
      <w:pPr>
        <w:pStyle w:val="Normal"/>
        <w:jc w:val="both"/>
        <w:rPr>
          <w:sz w:val="24"/>
          <w:szCs w:val="24"/>
        </w:rPr>
      </w:pPr>
      <w:r>
        <w:rPr>
          <w:sz w:val="24"/>
          <w:szCs w:val="24"/>
        </w:rPr>
        <w:t>Managing Director</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sz w:val="24"/>
          <w:szCs w:val="24"/>
        </w:rPr>
        <w:t>cc:</w:t>
        <w:tab/>
        <w:t xml:space="preserve">Mr. </w:t>
      </w:r>
      <w:r>
        <w:rPr>
          <w:color w:val="000000"/>
          <w:sz w:val="24"/>
          <w:szCs w:val="24"/>
        </w:rPr>
        <w:t>Daniel L. Larcamp</w:t>
      </w:r>
    </w:p>
    <w:p>
      <w:pPr>
        <w:pStyle w:val="Normal"/>
        <w:spacing w:lineRule="atLeast" w:line="240"/>
        <w:rPr>
          <w:color w:val="000000"/>
          <w:sz w:val="24"/>
          <w:szCs w:val="24"/>
        </w:rPr>
      </w:pPr>
      <w:r>
        <w:rPr>
          <w:color w:val="000000"/>
          <w:sz w:val="24"/>
          <w:szCs w:val="24"/>
        </w:rPr>
        <w:tab/>
        <w:t>Senior Counsel &amp; Policy Advisor</w:t>
      </w:r>
    </w:p>
    <w:p>
      <w:pPr>
        <w:pStyle w:val="Normal"/>
        <w:spacing w:lineRule="atLeast" w:line="240"/>
        <w:rPr>
          <w:color w:val="000000"/>
          <w:sz w:val="24"/>
          <w:szCs w:val="24"/>
        </w:rPr>
      </w:pPr>
      <w:r>
        <w:rPr>
          <w:color w:val="000000"/>
          <w:sz w:val="24"/>
          <w:szCs w:val="24"/>
        </w:rPr>
        <w:tab/>
        <w:t>Federal Energy Regulatory Commission</w:t>
      </w:r>
    </w:p>
    <w:p>
      <w:pPr>
        <w:pStyle w:val="Normal"/>
        <w:spacing w:lineRule="atLeast" w:line="240"/>
        <w:rPr>
          <w:color w:val="000000"/>
          <w:sz w:val="24"/>
          <w:szCs w:val="24"/>
        </w:rPr>
      </w:pPr>
      <w:r>
        <w:rPr>
          <w:color w:val="000000"/>
          <w:sz w:val="24"/>
          <w:szCs w:val="24"/>
        </w:rPr>
        <w:tab/>
        <w:t>888 First Street, NE, Suite 11A</w:t>
      </w:r>
    </w:p>
    <w:p>
      <w:pPr>
        <w:pStyle w:val="Normal"/>
        <w:jc w:val="both"/>
        <w:rPr>
          <w:color w:val="000000"/>
          <w:sz w:val="24"/>
          <w:szCs w:val="24"/>
        </w:rPr>
      </w:pPr>
      <w:r>
        <w:rPr>
          <w:color w:val="000000"/>
          <w:sz w:val="24"/>
          <w:szCs w:val="24"/>
        </w:rPr>
        <w:tab/>
        <w:t>Washington, DC  20426</w:t>
      </w:r>
    </w:p>
    <w:p>
      <w:pPr>
        <w:pStyle w:val="Normal"/>
        <w:jc w:val="both"/>
        <w:rPr>
          <w:color w:val="000000"/>
          <w:sz w:val="24"/>
          <w:szCs w:val="24"/>
        </w:rPr>
      </w:pPr>
      <w:r>
        <w:rPr>
          <w:color w:val="000000"/>
          <w:sz w:val="24"/>
          <w:szCs w:val="24"/>
        </w:rPr>
      </w:r>
    </w:p>
    <w:p>
      <w:pPr>
        <w:pStyle w:val="Normal"/>
        <w:jc w:val="both"/>
        <w:rPr/>
      </w:pPr>
      <w:r>
        <w:rPr>
          <w:color w:val="000000"/>
          <w:sz w:val="24"/>
          <w:szCs w:val="24"/>
        </w:rPr>
        <w:tab/>
      </w:r>
      <w:r>
        <w:rPr>
          <w:sz w:val="24"/>
          <w:szCs w:val="24"/>
        </w:rPr>
        <w:t>Mr. Thomas R. Donovan</w:t>
      </w:r>
    </w:p>
    <w:p>
      <w:pPr>
        <w:pStyle w:val="Normal"/>
        <w:ind w:firstLine="720" w:end="0"/>
        <w:jc w:val="both"/>
        <w:rPr>
          <w:sz w:val="24"/>
          <w:szCs w:val="24"/>
        </w:rPr>
      </w:pPr>
      <w:r>
        <w:rPr>
          <w:sz w:val="24"/>
          <w:szCs w:val="24"/>
        </w:rPr>
        <w:t>President and Chief Executive Officer</w:t>
      </w:r>
    </w:p>
    <w:p>
      <w:pPr>
        <w:pStyle w:val="Normal"/>
        <w:ind w:firstLine="720" w:end="0"/>
        <w:jc w:val="both"/>
        <w:rPr>
          <w:sz w:val="24"/>
          <w:szCs w:val="24"/>
        </w:rPr>
      </w:pPr>
      <w:r>
        <w:rPr>
          <w:sz w:val="24"/>
          <w:szCs w:val="24"/>
        </w:rPr>
        <w:t>Chicago Board of Trade</w:t>
      </w:r>
    </w:p>
    <w:p>
      <w:pPr>
        <w:pStyle w:val="Normal"/>
        <w:ind w:firstLine="720" w:end="0"/>
        <w:jc w:val="both"/>
        <w:rPr>
          <w:sz w:val="24"/>
          <w:szCs w:val="24"/>
        </w:rPr>
      </w:pPr>
      <w:r>
        <w:rPr>
          <w:sz w:val="24"/>
          <w:szCs w:val="24"/>
        </w:rPr>
        <w:t>LaSalle at Jackson</w:t>
      </w:r>
    </w:p>
    <w:p>
      <w:pPr>
        <w:pStyle w:val="Normal"/>
        <w:ind w:firstLine="720" w:end="0"/>
        <w:jc w:val="both"/>
        <w:rPr>
          <w:sz w:val="24"/>
          <w:szCs w:val="24"/>
        </w:rPr>
      </w:pPr>
      <w:r>
        <w:rPr>
          <w:sz w:val="24"/>
          <w:szCs w:val="24"/>
        </w:rPr>
        <w:t>Chicago, IL  60604</w:t>
      </w:r>
    </w:p>
    <w:p>
      <w:pPr>
        <w:pStyle w:val="Normal"/>
        <w:jc w:val="both"/>
        <w:rPr>
          <w:sz w:val="24"/>
          <w:szCs w:val="24"/>
        </w:rPr>
      </w:pPr>
      <w:r>
        <w:rPr>
          <w:sz w:val="24"/>
          <w:szCs w:val="24"/>
        </w:rPr>
      </w:r>
    </w:p>
    <w:p>
      <w:pPr>
        <w:pStyle w:val="Normal"/>
        <w:jc w:val="both"/>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2000-02-03T14:09:00Z</dcterms:created>
  <dc:creator>appinst</dc:creator>
  <dc:description/>
  <dc:language>en-CA</dc:language>
  <cp:lastModifiedBy>appinst</cp:lastModifiedBy>
  <dcterms:modified xsi:type="dcterms:W3CDTF">2000-02-03T20:47:00Z</dcterms:modified>
  <cp:revision>6</cp:revision>
  <dc:subject/>
  <dc:title>February 3, 2000</dc:title>
</cp:coreProperties>
</file>