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Arial" w:hAnsi="Arial" w:cs="Arial"/>
          <w:sz w:val="18"/>
        </w:rPr>
      </w:pPr>
      <w:r>
        <w:rPr>
          <w:rFonts w:cs="Arial" w:ascii="Arial" w:hAnsi="Arial"/>
          <w:sz w:val="18"/>
        </w:rPr>
        <w:t>ENRON CORP.</w:t>
      </w:r>
    </w:p>
    <w:p>
      <w:pPr>
        <w:pStyle w:val="Heading1"/>
        <w:ind w:hanging="0" w:start="0"/>
        <w:rPr>
          <w:rFonts w:ascii="Arial" w:hAnsi="Arial" w:cs="Arial"/>
          <w:sz w:val="18"/>
        </w:rPr>
      </w:pPr>
      <w:r>
        <w:rPr>
          <w:rFonts w:cs="Arial" w:ascii="Arial" w:hAnsi="Arial"/>
          <w:sz w:val="18"/>
        </w:rPr>
      </w:r>
    </w:p>
    <w:p>
      <w:pPr>
        <w:pStyle w:val="Heading1"/>
        <w:ind w:hanging="0" w:start="0"/>
        <w:rPr>
          <w:rFonts w:ascii="Arial" w:hAnsi="Arial" w:cs="Arial"/>
          <w:sz w:val="18"/>
        </w:rPr>
      </w:pPr>
      <w:r>
        <w:rPr>
          <w:rFonts w:cs="Arial" w:ascii="Arial" w:hAnsi="Arial"/>
          <w:sz w:val="18"/>
        </w:rPr>
        <w:t>GUARANTY</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tab/>
        <w:t xml:space="preserve">This Guaranty, dated May 17, 2001, is made by Enron Corp. (“Guarantor”), a corporation created and existing under the laws of the State of Oregon, in favor of the Tennessee Valley Authority (“TVA”), a corporation created by and existing under and by virtue of the Tennessee Valley Authority Act of 1933, as amended; and </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tab/>
        <w:t>WHEREAS, Guarantor's affiliate, Enron Power Marketing, Inc. (“Debtor”), a corporation created and existing under the laws of the State of Delaware, and TVA have entered into a Confirmation Letter dated May 17, 2001 (“Agreement”), involving the sale of a call option on electric energy by Debtor to TVA; and</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tab/>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tab/>
        <w:t>WHEREAS, Guarantor, as an affiliate of Debtor and by virtue of its interest in and relationship with Debtor, deems it to be in Guarantor's best interest, in that valuable benefits necessary or convenient to the conduct of business will be derived by virtue of the Agreement, to execute and deliver this Guaranty to TVA;</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tab/>
        <w:t xml:space="preserve">NOW, THEREFORE, to induce TVA to enter into the Agreement and in order to obtain the benefits to business resulting from TVA's performance pursuant to the Agreement, Guarantor desires to enter into this Guaranty and hereby agrees as follows:  </w:t>
      </w:r>
    </w:p>
    <w:p>
      <w:pPr>
        <w:pStyle w:val="Normal"/>
        <w:tabs>
          <w:tab w:val="clear" w:pos="720"/>
          <w:tab w:val="left" w:pos="60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cs="Arial" w:ascii="Arial" w:hAnsi="Arial"/>
          <w:sz w:val="18"/>
        </w:rPr>
        <w:t>1.</w:t>
        <w:tab/>
      </w:r>
      <w:r>
        <w:rPr>
          <w:rFonts w:cs="Arial" w:ascii="Arial" w:hAnsi="Arial"/>
          <w:sz w:val="18"/>
          <w:u w:val="single"/>
        </w:rPr>
        <w:t>Guaranty</w:t>
      </w:r>
      <w:r>
        <w:rPr>
          <w:rFonts w:cs="Arial" w:ascii="Arial" w:hAnsi="Arial"/>
          <w:sz w:val="18"/>
        </w:rPr>
        <w:t xml:space="preserve">.  Except to the extent expressly provided for in section 10 below upon revocation of this Guaranty, Guarantor hereby unconditionally and absolutely guarantees the punctual payment when due of Debtor's payment obligations arising under the Agreement (including monetary damages for breach of the Agreement) and any and all reasonable legal fees, costs, and other expenses incurred by TVA in enforcing such payment obligations under the Agreement or this Guaranty (all such obligations are hereinafter collectively referred to as the "Payment Obligations").  </w:t>
      </w:r>
      <w:r>
        <w:rPr>
          <w:rFonts w:cs="Arial" w:ascii="Arial" w:hAnsi="Arial"/>
          <w:sz w:val="18"/>
          <w:u w:val="single"/>
        </w:rPr>
        <w:t>The Payment Obligations are deemed to include, without limitation, interest and any other charges due and payable, such as late fees, premium payments, or liquidated damages (but only if, and to the extent, provided for in the Agreement</w:t>
      </w:r>
      <w:r>
        <w:rPr>
          <w:rFonts w:cs="Arial" w:ascii="Arial" w:hAnsi="Arial"/>
          <w:sz w:val="18"/>
        </w:rPr>
        <w:t xml:space="preserve">).  This Guaranty shall continue to be effective or be reinstated, as the case may be, if at any time any payment made pursuant to the Payment Obligations is rescinded or must otherwise be returned by TVA upon the insolvency, bankruptcy, or reorganization of the Debtor or otherwise, all as though such payment had not been made.  Guarantor acknowledges and represents that it has authority to provide this Guaranty to TVA, that it will benefit in the manner indicated in the recitals above from the Guaranty granted hereby, and that it has received a copy of the Agreement.  This Guaranty shall be limited to the Payment Obligations set forth above.  </w:t>
      </w:r>
    </w:p>
    <w:p>
      <w:pPr>
        <w:pStyle w:val="Normal"/>
        <w:tabs>
          <w:tab w:val="clear" w:pos="720"/>
          <w:tab w:val="left" w:pos="600" w:leader="none"/>
          <w:tab w:val="left" w:pos="960" w:leader="none"/>
          <w:tab w:val="left" w:pos="1200" w:leader="none"/>
          <w:tab w:val="left" w:pos="1680" w:leader="none"/>
          <w:tab w:val="left" w:pos="1800" w:leader="none"/>
          <w:tab w:val="left" w:pos="2400" w:leader="none"/>
        </w:tabs>
        <w:spacing w:lineRule="atLeast" w:line="200"/>
        <w:ind w:hanging="360" w:start="1680" w:end="950"/>
        <w:rPr/>
      </w:pPr>
      <w:r>
        <w:rPr>
          <w:rFonts w:cs="Arial" w:ascii="Arial" w:hAnsi="Arial"/>
          <w:sz w:val="18"/>
        </w:rPr>
        <w:t>a.</w:t>
        <w:tab/>
      </w:r>
      <w:r>
        <w:rPr>
          <w:rFonts w:cs="Arial" w:ascii="Arial" w:hAnsi="Arial"/>
          <w:sz w:val="18"/>
          <w:u w:val="single"/>
        </w:rPr>
        <w:t>The aggregate amount covered by this Guaranty shall not exceed $20,000,000</w:t>
      </w:r>
      <w:r>
        <w:rPr>
          <w:rFonts w:cs="Arial" w:ascii="Arial" w:hAnsi="Arial"/>
          <w:sz w:val="18"/>
        </w:rPr>
        <w:t>.00 (Twenty Million U.S. Dollars).</w:t>
      </w:r>
    </w:p>
    <w:p>
      <w:pPr>
        <w:pStyle w:val="Normal"/>
        <w:tabs>
          <w:tab w:val="clear" w:pos="720"/>
          <w:tab w:val="left" w:pos="600" w:leader="none"/>
          <w:tab w:val="left" w:pos="960" w:leader="none"/>
          <w:tab w:val="left" w:pos="1200" w:leader="none"/>
          <w:tab w:val="left" w:pos="1680" w:leader="none"/>
          <w:tab w:val="left" w:pos="1800" w:leader="none"/>
          <w:tab w:val="left" w:pos="2400" w:leader="none"/>
        </w:tabs>
        <w:spacing w:lineRule="atLeast" w:line="200"/>
        <w:ind w:hanging="360" w:start="1680" w:end="950"/>
        <w:rPr>
          <w:rFonts w:ascii="Arial" w:hAnsi="Arial" w:cs="Arial"/>
          <w:sz w:val="18"/>
        </w:rPr>
      </w:pPr>
      <w:r>
        <w:rPr>
          <w:rFonts w:cs="Arial" w:ascii="Arial" w:hAnsi="Arial"/>
          <w:sz w:val="18"/>
        </w:rPr>
        <w:t>b.</w:t>
        <w:tab/>
        <w:t xml:space="preserve">Guarantor’s liability hereunder shall be and is specifically limited to payments expressly required to be made under the Agreement and in no event shall Guarantor be subject hereunder to consequential, exemplary, equitable, loss of profits, punitive, tort, or any other damages or costs.  </w:t>
      </w:r>
      <w:r>
        <w:br w:type="page"/>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cs="Arial" w:ascii="Arial" w:hAnsi="Arial"/>
          <w:sz w:val="18"/>
        </w:rPr>
        <w:tab/>
        <w:t>2.</w:t>
        <w:tab/>
      </w:r>
      <w:r>
        <w:rPr>
          <w:rFonts w:cs="Arial" w:ascii="Arial" w:hAnsi="Arial"/>
          <w:sz w:val="18"/>
          <w:u w:val="single"/>
        </w:rPr>
        <w:t>Guarantor to be Bound by Agreement Terms</w:t>
      </w:r>
      <w:r>
        <w:rPr>
          <w:rFonts w:cs="Arial" w:ascii="Arial" w:hAnsi="Arial"/>
          <w:sz w:val="18"/>
        </w:rPr>
        <w:t xml:space="preserve">.  Guarantor hereby absolutely and unconditionally agrees to comply in all respects with and be bound by the provisions of the Agreement  to the extent that such Agreement  relate to or affect Guarantor’s Payment Obligations hereby guaranteed by Guarantor.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00" w:end="950"/>
        <w:rPr/>
      </w:pPr>
      <w:r>
        <w:rPr>
          <w:rFonts w:cs="Arial" w:ascii="Arial" w:hAnsi="Arial"/>
          <w:sz w:val="18"/>
        </w:rPr>
        <w:tab/>
        <w:t>3.</w:t>
        <w:tab/>
      </w:r>
      <w:r>
        <w:rPr>
          <w:rFonts w:cs="Arial" w:ascii="Arial" w:hAnsi="Arial"/>
          <w:sz w:val="18"/>
          <w:u w:val="single"/>
        </w:rPr>
        <w:t>Setoffs and Counterclaims.</w:t>
      </w:r>
      <w:r>
        <w:rPr>
          <w:rFonts w:cs="Arial" w:ascii="Arial" w:hAnsi="Arial"/>
          <w:sz w:val="18"/>
        </w:rPr>
        <w:t xml:space="preserve">  Without limiting Guarantor’s own defenses and rights hereunder, Guarantor reserves to itself all rights, setoffs, counterclaims and other defenses to which Debtor is or may be entitled to arising from or out of the Agreement except for defenses arising out of the bankruptcy, insolvency, dissolution or liquidation of the Debtor.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rFonts w:ascii="Arial" w:hAnsi="Arial" w:cs="Arial"/>
          <w:sz w:val="18"/>
        </w:rPr>
      </w:pPr>
      <w:r>
        <w:rPr>
          <w:rFonts w:cs="Arial" w:ascii="Arial" w:hAnsi="Arial"/>
          <w:sz w:val="18"/>
        </w:rPr>
        <w:tab/>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cs="Arial" w:ascii="Arial" w:hAnsi="Arial"/>
          <w:sz w:val="18"/>
        </w:rPr>
        <w:t>4</w:t>
        <w:tab/>
      </w:r>
      <w:r>
        <w:rPr>
          <w:rFonts w:cs="Arial" w:ascii="Arial" w:hAnsi="Arial"/>
          <w:sz w:val="18"/>
          <w:u w:val="single"/>
        </w:rPr>
        <w:t>Waiver</w:t>
      </w:r>
      <w:r>
        <w:rPr>
          <w:rFonts w:cs="Arial" w:ascii="Arial" w:hAnsi="Arial"/>
          <w:sz w:val="18"/>
        </w:rPr>
        <w:t>.  Guarantor hereby waives:</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cs="Arial"/>
          <w:sz w:val="18"/>
        </w:rPr>
      </w:pPr>
      <w:r>
        <w:rPr>
          <w:rFonts w:cs="Arial" w:ascii="Arial" w:hAnsi="Arial"/>
          <w:sz w:val="18"/>
        </w:rPr>
        <w:t>(a)</w:t>
        <w:tab/>
        <w:t>notice of (i) acceptance of this Guaranty, (ii) the creationexistence, and/or extension of the time for payment of any of the Payment Obligations as they may from time to time exist, (iii) any action by TVA in reliance hereon or in connection herewith, and (iv) any other occurrences to which Guarantor might otherwise be entitled to notice;</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cs="Arial"/>
          <w:sz w:val="18"/>
        </w:rPr>
      </w:pPr>
      <w:r>
        <w:rPr>
          <w:rFonts w:cs="Arial" w:ascii="Arial" w:hAnsi="Arial"/>
          <w:sz w:val="18"/>
        </w:rPr>
        <w:t>(b)</w:t>
        <w:tab/>
        <w:t xml:space="preserve">presentment, protest and notice of protest with respect to the Payment Obligations; and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cs="Arial"/>
          <w:sz w:val="18"/>
        </w:rPr>
      </w:pPr>
      <w:r>
        <w:rPr>
          <w:rFonts w:cs="Arial" w:ascii="Arial" w:hAnsi="Arial"/>
          <w:sz w:val="18"/>
        </w:rPr>
        <w:t>(c)</w:t>
        <w:tab/>
        <w:t xml:space="preserve">any requirement that suit be brought against, or any other action by TVA be taken against, or any notice of default or other notice be given to, or any demand be made on, Debtor or any other person or entity, or that any other action be taken or not taken as a condition to Guarantor's Payment Obligations under this Guaranty, or as a condition of enforcement of this Guaranty against Guarantor.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cs="Arial" w:ascii="Arial" w:hAnsi="Arial"/>
          <w:sz w:val="18"/>
        </w:rPr>
        <w:tab/>
        <w:t>5.</w:t>
        <w:tab/>
      </w:r>
      <w:r>
        <w:rPr>
          <w:rFonts w:cs="Arial" w:ascii="Arial" w:hAnsi="Arial"/>
          <w:sz w:val="18"/>
          <w:u w:val="single"/>
        </w:rPr>
        <w:t>Amendment</w:t>
      </w:r>
      <w:r>
        <w:rPr>
          <w:rFonts w:cs="Arial" w:ascii="Arial" w:hAnsi="Arial"/>
          <w:sz w:val="18"/>
        </w:rPr>
        <w:t xml:space="preserve">.  No amendment of this Guaranty shall be effective unless in writing and signed by Guarantor and  TVA.  No waiver of any provision of this Guaranty nor consent to any departure by Guarantor therefrom shall in any event be effective unless the same shall be in writing and signed by TVA and then such waiver or consent shall be effective only in the specific instance and for the specific purpose for which given.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cs="Arial" w:ascii="Arial" w:hAnsi="Arial"/>
          <w:sz w:val="18"/>
        </w:rPr>
        <w:t>6.</w:t>
        <w:tab/>
      </w:r>
      <w:r>
        <w:rPr>
          <w:rFonts w:cs="Arial" w:ascii="Arial" w:hAnsi="Arial"/>
          <w:sz w:val="18"/>
          <w:u w:val="single"/>
        </w:rPr>
        <w:t>Demands and Notice</w:t>
      </w:r>
      <w:r>
        <w:rPr>
          <w:rFonts w:cs="Arial" w:ascii="Arial" w:hAnsi="Arial"/>
          <w:sz w:val="18"/>
        </w:rPr>
        <w:t xml:space="preserve"> If Debtor fails or refuses to pay any Payment Obligations under the Agreement, TVA shall make a demand upon Guarantor (hereinafter referred to as a “Payment Demand”).  A Payment Demand shall be in writing and shall reasonably and briefly specify in what manner and what amount Debtor has failed to pay and an explanation of why such payment is due, with a specific statement that TVA is calling upon Guarantor to pay under this Guaranty within three (3) business days.  A single written Payment Demand shall be effective as to any specific default during the continuance of such default, until Debtor or Guarantor has cured such default, and additional written demands concerning such default shall not be required until such default is cured.  </w:t>
      </w:r>
      <w:r>
        <w:br w:type="page"/>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600"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cs="Arial" w:ascii="Arial" w:hAnsi="Arial"/>
          <w:sz w:val="18"/>
        </w:rPr>
        <w:tab/>
        <w:t>7.</w:t>
        <w:tab/>
      </w:r>
      <w:r>
        <w:rPr>
          <w:rFonts w:cs="Arial" w:ascii="Arial" w:hAnsi="Arial"/>
          <w:sz w:val="18"/>
          <w:u w:val="single"/>
        </w:rPr>
        <w:t>Notices</w:t>
      </w:r>
      <w:r>
        <w:rPr>
          <w:rFonts w:cs="Arial" w:ascii="Arial" w:hAnsi="Arial"/>
          <w:sz w:val="18"/>
        </w:rPr>
        <w:t xml:space="preserve">.  All notices and other communications provided for hereunder shall, (i) be in writing and shall be addressed to the parties at their respective addresses set forth below or at such other addresses as shall be designated in a written notice to the other party and (ii) when mailed, be effective five (5) business days after being deposited in the U.S. mail, registered or certified, return receipt requested, postage prepaid, and in the case of personal delivery, when delivered at the following addresses: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60" w:end="950"/>
        <w:rPr>
          <w:rFonts w:ascii="Arial" w:hAnsi="Arial" w:cs="Arial"/>
          <w:sz w:val="18"/>
        </w:rPr>
      </w:pPr>
      <w:r>
        <w:rPr>
          <w:rFonts w:cs="Arial" w:ascii="Arial" w:hAnsi="Arial"/>
          <w:sz w:val="18"/>
        </w:rPr>
        <w:tab/>
        <w:t>(a) if to the Guarantor:</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Enron Corp.1400 Smith Street</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Houston Texas 77002</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Attention:  Senior Vice President, Finance and Treasurer</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Fax: (713) 646-3422</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200" w:end="950"/>
        <w:rPr>
          <w:rFonts w:ascii="Arial" w:hAnsi="Arial" w:cs="Arial"/>
          <w:sz w:val="18"/>
        </w:rPr>
      </w:pPr>
      <w:r>
        <w:rPr>
          <w:rFonts w:cs="Arial" w:ascii="Arial" w:hAnsi="Arial"/>
          <w:sz w:val="18"/>
        </w:rPr>
        <w:t>(b) if to the Debtor:</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Enron Power Marketing, Inc.</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1400 Smith Street</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Houston, Texas 77002</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Attention:  Assistant General Counsel, Trading Group</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Fax: (713) 646-4818</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200" w:end="950"/>
        <w:rPr>
          <w:rFonts w:ascii="Arial" w:hAnsi="Arial" w:cs="Arial"/>
          <w:sz w:val="18"/>
        </w:rPr>
      </w:pPr>
      <w:r>
        <w:rPr>
          <w:rFonts w:cs="Arial" w:ascii="Arial" w:hAnsi="Arial"/>
          <w:sz w:val="18"/>
        </w:rPr>
        <w:t>(c) if to TVA:</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Vice President, Bulk Power Trading</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Tennessee Valley Authority</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1101 Market Street, MR 2X</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Chattanooga, Tennessee 37402-2801</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1800" w:end="950"/>
        <w:rPr>
          <w:rFonts w:ascii="Arial" w:hAnsi="Arial" w:cs="Arial"/>
          <w:sz w:val="18"/>
        </w:rPr>
      </w:pPr>
      <w:r>
        <w:rPr>
          <w:rFonts w:cs="Arial" w:ascii="Arial" w:hAnsi="Arial"/>
          <w:sz w:val="18"/>
        </w:rPr>
        <w:t xml:space="preserve">Fax: (865) 632-4560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cs="Arial" w:ascii="Arial" w:hAnsi="Arial"/>
          <w:sz w:val="18"/>
        </w:rPr>
        <w:tab/>
        <w:t>8.</w:t>
        <w:tab/>
      </w:r>
      <w:r>
        <w:rPr>
          <w:rFonts w:cs="Arial" w:ascii="Arial" w:hAnsi="Arial"/>
          <w:sz w:val="18"/>
          <w:u w:val="single"/>
        </w:rPr>
        <w:t>Effect of Certain Events</w:t>
      </w:r>
      <w:r>
        <w:rPr>
          <w:rFonts w:cs="Arial" w:ascii="Arial" w:hAnsi="Arial"/>
          <w:sz w:val="18"/>
        </w:rPr>
        <w:t xml:space="preserve">.  Guarantor agrees that Guarantor's liability hereunder shall not be released, reduced, or impaired by the occurrence of any one or more of the following events: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cs="Arial"/>
          <w:sz w:val="18"/>
        </w:rPr>
      </w:pPr>
      <w:r>
        <w:rPr>
          <w:rFonts w:cs="Arial" w:ascii="Arial" w:hAnsi="Arial"/>
          <w:sz w:val="18"/>
        </w:rPr>
        <w:t>(a)</w:t>
        <w:tab/>
        <w:t xml:space="preserve">the insolvency, bankruptcy, reorganization, release, receivership, or discharge of Debtor;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cs="Arial"/>
          <w:sz w:val="18"/>
        </w:rPr>
      </w:pPr>
      <w:r>
        <w:rPr>
          <w:rFonts w:cs="Arial" w:ascii="Arial" w:hAnsi="Arial"/>
          <w:sz w:val="18"/>
        </w:rPr>
        <w:t>(b)</w:t>
        <w:tab/>
        <w:t>any changes from time to time in the Agreement  by virtue of its  renewal, consolidation, extension, modification, or amendment;</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cs="Arial"/>
          <w:sz w:val="18"/>
        </w:rPr>
      </w:pPr>
      <w:r>
        <w:rPr>
          <w:rFonts w:cs="Arial" w:ascii="Arial" w:hAnsi="Arial"/>
          <w:sz w:val="18"/>
        </w:rPr>
        <w:t>(c)</w:t>
        <w:tab/>
        <w:t>the acceptance of any note, deposit, or any security of any kind for Debtor's indebtedness, or any renewals of such;</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cs="Arial"/>
          <w:sz w:val="18"/>
        </w:rPr>
      </w:pPr>
      <w:r>
        <w:rPr>
          <w:rFonts w:cs="Arial" w:ascii="Arial" w:hAnsi="Arial"/>
          <w:sz w:val="18"/>
        </w:rPr>
        <w:t>(d)</w:t>
        <w:tab/>
        <w:t>the surrender, release, exchange or alteration of any note, deposit, or other security held by TVA for Debtor's indebtedness;</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cs="Arial"/>
          <w:sz w:val="18"/>
        </w:rPr>
      </w:pPr>
      <w:r>
        <w:rPr>
          <w:rFonts w:cs="Arial" w:ascii="Arial" w:hAnsi="Arial"/>
          <w:sz w:val="18"/>
        </w:rPr>
        <w:t>(e)</w:t>
        <w:tab/>
        <w:t xml:space="preserve">the failure, delay, waiver, or refusal by TVA to exercise, in whole or part, any right or remedy held by TVA with respect to the Agreement ;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cs="Arial"/>
          <w:sz w:val="18"/>
        </w:rPr>
      </w:pPr>
      <w:r>
        <w:rPr>
          <w:rFonts w:cs="Arial" w:ascii="Arial" w:hAnsi="Arial"/>
          <w:sz w:val="18"/>
        </w:rPr>
        <w:t>(f)</w:t>
        <w:tab/>
        <w:t xml:space="preserve">lack of consideration or any other deficiency in the formation of the Agreement  and any and all amendments and modifications thereof; 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600" w:start="1800" w:end="950"/>
        <w:rPr>
          <w:rFonts w:ascii="Arial" w:hAnsi="Arial" w:cs="Arial"/>
          <w:sz w:val="18"/>
        </w:rPr>
      </w:pPr>
      <w:r>
        <w:rPr>
          <w:rFonts w:cs="Arial" w:ascii="Arial" w:hAnsi="Arial"/>
          <w:sz w:val="18"/>
        </w:rPr>
        <w:t>(g)</w:t>
        <w:tab/>
        <w:t xml:space="preserve">lack of corporate power or authority of Guarantor or Debtor.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cs="Arial" w:ascii="Arial" w:hAnsi="Arial"/>
          <w:sz w:val="18"/>
        </w:rPr>
        <w:t>9.</w:t>
        <w:tab/>
      </w:r>
      <w:r>
        <w:rPr>
          <w:rFonts w:cs="Arial" w:ascii="Arial" w:hAnsi="Arial"/>
          <w:sz w:val="18"/>
          <w:u w:val="single"/>
        </w:rPr>
        <w:t>Term</w:t>
      </w:r>
      <w:r>
        <w:rPr>
          <w:rFonts w:cs="Arial" w:ascii="Arial" w:hAnsi="Arial"/>
          <w:sz w:val="18"/>
        </w:rPr>
        <w:t>.  This Guaranty shall be effective for Payment Obligations created or arising during the term of the Agreement , unless this Guaranty is sooner revoked as provided in section 10 below.</w:t>
      </w:r>
      <w:r>
        <w:br w:type="page"/>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360" w:start="960" w:end="950"/>
        <w:rPr/>
      </w:pPr>
      <w:r>
        <w:rPr>
          <w:rFonts w:cs="Arial" w:ascii="Arial" w:hAnsi="Arial"/>
          <w:sz w:val="18"/>
        </w:rPr>
        <w:t>10.</w:t>
        <w:tab/>
      </w:r>
      <w:r>
        <w:rPr>
          <w:rFonts w:cs="Arial" w:ascii="Arial" w:hAnsi="Arial"/>
          <w:sz w:val="18"/>
          <w:u w:val="single"/>
        </w:rPr>
        <w:t>Revocation</w:t>
      </w:r>
      <w:r>
        <w:rPr>
          <w:rFonts w:cs="Arial" w:ascii="Arial" w:hAnsi="Arial"/>
          <w:sz w:val="18"/>
        </w:rPr>
        <w:t>.  Guarantor may revoke this Guaranty by giving TVA a notice that this Guaranty will not apply to Payment Obligations created on or after the Effective Date of such revocation notice, which Effective Date shall be thirty (30) business days from date of receipt of such notice by TVA.  Such revocation, when made, shall apply only to Payment Obligations created on or subsequent to the Effective Date of such revocation, and shall not apply to Payment Obligations thereafter becoming due and payable created prior to that Effective Date.</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60"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start="960" w:end="950"/>
        <w:rPr>
          <w:rFonts w:ascii="Arial" w:hAnsi="Arial" w:cs="Arial"/>
          <w:sz w:val="18"/>
        </w:rPr>
      </w:pPr>
      <w:r>
        <w:rPr>
          <w:rFonts w:cs="Arial" w:ascii="Arial" w:hAnsi="Arial"/>
          <w:sz w:val="18"/>
        </w:rPr>
        <w:t xml:space="preserve">As used in this Guaranty, "business day" shall mean any day except Saturday, Sunday, or a weekday that is observed by TVA as a Federal holiday.  A return receipt for a certified letter giving a notice of revocation under this section 10 and addressed to the person designated to receive notice for TVA in accordance with section 7 above shall be conclusive evidence of receipt of such notice.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hanging="960" w:start="960" w:end="950"/>
        <w:rPr/>
      </w:pPr>
      <w:r>
        <w:rPr>
          <w:rFonts w:cs="Arial" w:ascii="Arial" w:hAnsi="Arial"/>
          <w:sz w:val="18"/>
        </w:rPr>
        <w:tab/>
        <w:t>11.</w:t>
        <w:tab/>
      </w:r>
      <w:r>
        <w:rPr>
          <w:rFonts w:cs="Arial" w:ascii="Arial" w:hAnsi="Arial"/>
          <w:sz w:val="18"/>
          <w:u w:val="single"/>
        </w:rPr>
        <w:t>Successors and Assigns</w:t>
      </w:r>
      <w:r>
        <w:rPr>
          <w:rFonts w:cs="Arial" w:ascii="Arial" w:hAnsi="Arial"/>
          <w:sz w:val="18"/>
        </w:rPr>
        <w:t xml:space="preserve">.  TVA may assign its rights hereunder without the consent of the Guarantor.  Guarantor may not assign its rights hereunder without the prior written consent of TVA.  Subject to the foregoing, this Guaranty shall be binding upon and inure to the benefit of the parties hereto and their respective successors, permitted assigns, and legal representatives.  </w:t>
      </w:r>
    </w:p>
    <w:p>
      <w:pPr>
        <w:pStyle w:val="Normal"/>
        <w:tabs>
          <w:tab w:val="clear" w:pos="720"/>
          <w:tab w:val="left" w:pos="60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hanging="960" w:start="960" w:end="950"/>
        <w:rPr/>
      </w:pPr>
      <w:r>
        <w:rPr>
          <w:rFonts w:cs="Arial" w:ascii="Arial" w:hAnsi="Arial"/>
          <w:sz w:val="18"/>
        </w:rPr>
        <w:tab/>
        <w:t>12.</w:t>
        <w:tab/>
      </w:r>
      <w:r>
        <w:rPr>
          <w:rFonts w:cs="Arial" w:ascii="Arial" w:hAnsi="Arial"/>
          <w:sz w:val="18"/>
          <w:u w:val="single"/>
        </w:rPr>
        <w:t>Governing Law</w:t>
      </w:r>
      <w:r>
        <w:rPr>
          <w:rFonts w:cs="Arial" w:ascii="Arial" w:hAnsi="Arial"/>
          <w:sz w:val="18"/>
        </w:rPr>
        <w:t xml:space="preserve">.  The validity, interpretation, and performance of this Guaranty shall be governed by the law of the State of New York, without regard to its conflicts of laws principles, except for Section 5-1401 of the New York General Obligations Law.  This Guaranty embodies the entire agreement and understanding between Guarantor and TVA and supersedes all prior agreements and understandings relating to the subject matter hereof.  </w:t>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hanging="960" w:start="960" w:end="950"/>
        <w:rPr/>
      </w:pPr>
      <w:r>
        <w:rPr>
          <w:rFonts w:cs="Arial" w:ascii="Arial" w:hAnsi="Arial"/>
          <w:sz w:val="18"/>
        </w:rPr>
        <w:tab/>
        <w:t>13.</w:t>
        <w:tab/>
      </w:r>
      <w:r>
        <w:rPr>
          <w:rFonts w:cs="Arial" w:ascii="Arial" w:hAnsi="Arial"/>
          <w:sz w:val="18"/>
          <w:u w:val="single"/>
        </w:rPr>
        <w:t>Headings</w:t>
      </w:r>
      <w:r>
        <w:rPr>
          <w:rFonts w:cs="Arial" w:ascii="Arial" w:hAnsi="Arial"/>
          <w:sz w:val="18"/>
        </w:rPr>
        <w:t xml:space="preserve">.  The headings used herein are for convenience only and shall not be used in construing the provisions hereof.  </w:t>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hanging="960" w:start="960" w:end="950"/>
        <w:rPr>
          <w:rFonts w:ascii="Arial" w:hAnsi="Arial" w:cs="Arial"/>
          <w:sz w:val="18"/>
        </w:rPr>
      </w:pPr>
      <w:r>
        <w:rPr>
          <w:rFonts w:cs="Arial" w:ascii="Arial" w:hAnsi="Arial"/>
          <w:sz w:val="18"/>
        </w:rPr>
        <w:tab/>
        <w:t xml:space="preserve"> </w:t>
      </w:r>
    </w:p>
    <w:p>
      <w:pPr>
        <w:pStyle w:val="Normal"/>
        <w:tabs>
          <w:tab w:val="clear" w:pos="720"/>
          <w:tab w:val="left" w:pos="480" w:leader="none"/>
          <w:tab w:val="left" w:pos="960" w:leader="none"/>
          <w:tab w:val="left" w:pos="1200" w:leader="none"/>
          <w:tab w:val="left" w:pos="1800" w:leader="none"/>
          <w:tab w:val="left" w:pos="24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480" w:leader="none"/>
          <w:tab w:val="left" w:pos="1200" w:leader="none"/>
          <w:tab w:val="left" w:pos="1800" w:leader="none"/>
          <w:tab w:val="left" w:pos="4800" w:leader="none"/>
        </w:tabs>
        <w:spacing w:lineRule="atLeast" w:line="200"/>
        <w:ind w:end="950"/>
        <w:rPr>
          <w:rFonts w:ascii="Arial" w:hAnsi="Arial" w:cs="Arial"/>
          <w:sz w:val="18"/>
        </w:rPr>
      </w:pPr>
      <w:r>
        <w:rPr>
          <w:rFonts w:cs="Arial" w:ascii="Arial" w:hAnsi="Arial"/>
          <w:sz w:val="18"/>
        </w:rPr>
        <w:tab/>
        <w:t>IN WITNESS WHEREOF, Guarantor has caused this Guaranty to be duly executed and delivered by its duly authorized officer, effective as of this _____ day of _______________, 2001.</w:t>
      </w:r>
    </w:p>
    <w:p>
      <w:pPr>
        <w:pStyle w:val="Normal"/>
        <w:tabs>
          <w:tab w:val="clear" w:pos="720"/>
          <w:tab w:val="left" w:pos="480" w:leader="none"/>
          <w:tab w:val="left" w:pos="1200" w:leader="none"/>
          <w:tab w:val="left" w:pos="1800" w:leader="none"/>
          <w:tab w:val="left" w:pos="480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480" w:leader="none"/>
          <w:tab w:val="left" w:pos="1200" w:leader="none"/>
          <w:tab w:val="left" w:pos="1800" w:leader="none"/>
          <w:tab w:val="left" w:pos="4800" w:leader="none"/>
        </w:tabs>
        <w:spacing w:lineRule="atLeast" w:line="200"/>
        <w:ind w:end="950"/>
        <w:rPr>
          <w:rFonts w:ascii="Arial" w:hAnsi="Arial" w:cs="Arial"/>
          <w:sz w:val="18"/>
        </w:rPr>
      </w:pPr>
      <w:r>
        <w:rPr>
          <w:rFonts w:cs="Arial" w:ascii="Arial" w:hAnsi="Arial"/>
          <w:sz w:val="18"/>
        </w:rPr>
        <w:tab/>
        <w:tab/>
        <w:tab/>
        <w:tab/>
        <w:t>ENRON CORP.</w:t>
      </w:r>
    </w:p>
    <w:p>
      <w:pPr>
        <w:pStyle w:val="Normal"/>
        <w:tabs>
          <w:tab w:val="clear" w:pos="720"/>
          <w:tab w:val="left" w:pos="480" w:leader="none"/>
          <w:tab w:val="left" w:pos="1080" w:leader="none"/>
          <w:tab w:val="left" w:pos="4560" w:leader="none"/>
        </w:tabs>
        <w:spacing w:lineRule="atLeast" w:line="200"/>
        <w:ind w:end="950"/>
        <w:rPr>
          <w:rFonts w:ascii="Arial" w:hAnsi="Arial" w:cs="Arial"/>
          <w:sz w:val="18"/>
        </w:rPr>
      </w:pPr>
      <w:r>
        <w:rPr>
          <w:rFonts w:cs="Arial" w:ascii="Arial" w:hAnsi="Arial"/>
          <w:sz w:val="18"/>
        </w:rPr>
        <w:tab/>
        <w:tab/>
        <w:tab/>
      </w:r>
    </w:p>
    <w:p>
      <w:pPr>
        <w:pStyle w:val="Normal"/>
        <w:tabs>
          <w:tab w:val="clear" w:pos="720"/>
          <w:tab w:val="left" w:pos="480" w:leader="none"/>
          <w:tab w:val="left" w:pos="1080" w:leader="none"/>
          <w:tab w:val="left" w:pos="4560" w:leader="none"/>
        </w:tabs>
        <w:spacing w:lineRule="atLeast" w:line="200"/>
        <w:ind w:end="950"/>
        <w:rPr>
          <w:rFonts w:ascii="Arial" w:hAnsi="Arial" w:cs="Arial"/>
          <w:sz w:val="18"/>
        </w:rPr>
      </w:pPr>
      <w:r>
        <w:rPr>
          <w:rFonts w:cs="Arial" w:ascii="Arial" w:hAnsi="Arial"/>
          <w:sz w:val="18"/>
        </w:rPr>
      </w:r>
    </w:p>
    <w:p>
      <w:pPr>
        <w:pStyle w:val="Normal"/>
        <w:tabs>
          <w:tab w:val="clear" w:pos="720"/>
          <w:tab w:val="left" w:pos="480" w:leader="none"/>
          <w:tab w:val="left" w:pos="1080" w:leader="none"/>
          <w:tab w:val="left" w:pos="4560" w:leader="none"/>
        </w:tabs>
        <w:spacing w:lineRule="atLeast" w:line="200"/>
        <w:ind w:end="950"/>
        <w:rPr>
          <w:rFonts w:ascii="Arial" w:hAnsi="Arial" w:cs="Arial"/>
          <w:sz w:val="18"/>
        </w:rPr>
      </w:pPr>
      <w:r>
        <w:rPr>
          <w:rFonts w:cs="Arial" w:ascii="Arial" w:hAnsi="Arial"/>
          <w:sz w:val="18"/>
        </w:rPr>
        <w:tab/>
        <w:tab/>
        <w:tab/>
        <w:t>By:</w:t>
      </w:r>
    </w:p>
    <w:p>
      <w:pPr>
        <w:pStyle w:val="Normal"/>
        <w:tabs>
          <w:tab w:val="clear" w:pos="720"/>
          <w:tab w:val="left" w:pos="480" w:leader="none"/>
          <w:tab w:val="left" w:pos="1080" w:leader="none"/>
          <w:tab w:val="left" w:pos="4560" w:leader="none"/>
        </w:tabs>
        <w:spacing w:lineRule="atLeast" w:line="200"/>
        <w:ind w:end="950"/>
        <w:rPr>
          <w:rFonts w:ascii="Arial" w:hAnsi="Arial" w:cs="Arial"/>
          <w:sz w:val="18"/>
        </w:rPr>
      </w:pPr>
      <w:r>
        <w:rPr>
          <w:rFonts w:cs="Arial" w:ascii="Arial" w:hAnsi="Arial"/>
          <w:sz w:val="18"/>
        </w:rPr>
        <w:tab/>
        <w:tab/>
        <w:tab/>
        <w:t xml:space="preserve">Name: </w:t>
      </w:r>
    </w:p>
    <w:p>
      <w:pPr>
        <w:pStyle w:val="Normal"/>
        <w:tabs>
          <w:tab w:val="clear" w:pos="720"/>
          <w:tab w:val="left" w:pos="480" w:leader="none"/>
          <w:tab w:val="left" w:pos="1080" w:leader="none"/>
          <w:tab w:val="left" w:pos="4560" w:leader="none"/>
        </w:tabs>
        <w:spacing w:lineRule="atLeast" w:line="200"/>
        <w:ind w:end="950"/>
        <w:rPr>
          <w:rFonts w:ascii="Arial" w:hAnsi="Arial" w:cs="Arial"/>
          <w:sz w:val="18"/>
        </w:rPr>
      </w:pPr>
      <w:r>
        <w:rPr>
          <w:rFonts w:cs="Arial" w:ascii="Arial" w:hAnsi="Arial"/>
          <w:sz w:val="18"/>
        </w:rPr>
        <w:tab/>
        <w:tab/>
        <w:tab/>
        <w:t xml:space="preserve">Title: </w:t>
      </w:r>
    </w:p>
    <w:p>
      <w:pPr>
        <w:pStyle w:val="Normal"/>
        <w:rPr>
          <w:rFonts w:ascii="Arial" w:hAnsi="Arial" w:cs="Arial"/>
          <w:sz w:val="18"/>
        </w:rPr>
      </w:pPr>
      <w:r>
        <w:rPr>
          <w:rFonts w:cs="Arial" w:ascii="Arial" w:hAnsi="Arial"/>
          <w:sz w:val="18"/>
        </w:rPr>
      </w:r>
    </w:p>
    <w:p>
      <w:pPr>
        <w:pStyle w:val="Normal"/>
        <w:tabs>
          <w:tab w:val="clear" w:pos="720"/>
          <w:tab w:val="left" w:pos="600" w:leader="none"/>
          <w:tab w:val="left" w:pos="1200" w:leader="none"/>
          <w:tab w:val="left" w:pos="1800" w:leader="none"/>
          <w:tab w:val="left" w:pos="2400" w:leader="none"/>
        </w:tabs>
        <w:spacing w:lineRule="atLeast" w:line="200"/>
        <w:ind w:end="950"/>
        <w:jc w:val="center"/>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r>
    </w:p>
    <w:sectPr>
      <w:headerReference w:type="default" r:id="rId2"/>
      <w:footerReference w:type="default" r:id="rId3"/>
      <w:type w:val="nextPage"/>
      <w:pgSz w:w="12240" w:h="15840"/>
      <w:pgMar w:left="144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380" w:leader="none"/>
        <w:tab w:val="right" w:pos="8640" w:leader="none"/>
      </w:tabs>
      <w:rPr>
        <w:rFonts w:ascii="Arial" w:hAnsi="Arial" w:cs="Arial"/>
        <w:sz w:val="18"/>
      </w:rPr>
    </w:pPr>
    <w:r>
      <w:rPr>
        <w:sz w:val="26"/>
      </w:rPr>
      <w:fldChar w:fldCharType="begin"/>
    </w:r>
    <w:r>
      <w:rPr>
        <w:sz w:val="26"/>
      </w:rPr>
      <w:instrText xml:space="preserve"> SUBJECT </w:instrText>
    </w:r>
    <w:r>
      <w:rPr>
        <w:sz w:val="26"/>
      </w:rPr>
      <w:fldChar w:fldCharType="separate"/>
    </w:r>
    <w:r>
      <w:rPr>
        <w:sz w:val="26"/>
      </w:rPr>
    </w:r>
    <w:r>
      <w:rPr>
        <w:sz w:val="26"/>
      </w:rPr>
      <w:fldChar w:fldCharType="end"/>
    </w:r>
    <w:r>
      <w:rPr>
        <w:sz w:val="26"/>
      </w:rPr>
      <w:tab/>
    </w:r>
  </w:p>
  <w:p>
    <w:pPr>
      <w:pStyle w:val="Header"/>
      <w:tabs>
        <w:tab w:val="center" w:pos="4320" w:leader="none"/>
        <w:tab w:val="left" w:pos="7380" w:leader="none"/>
        <w:tab w:val="right" w:pos="8640" w:leader="none"/>
      </w:tabs>
      <w:rPr>
        <w:rStyle w:val="PageNumber"/>
        <w:rFonts w:ascii="Arial" w:hAnsi="Arial" w:cs="Arial"/>
        <w:sz w:val="18"/>
      </w:rPr>
    </w:pPr>
    <w:r>
      <w:rPr>
        <w:rFonts w:cs="Arial" w:ascii="Arial" w:hAnsi="Arial"/>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tabs>
        <w:tab w:val="left" w:pos="720" w:leader="none"/>
        <w:tab w:val="left" w:pos="1440" w:leader="none"/>
        <w:tab w:val="left" w:pos="2160" w:leader="none"/>
        <w:tab w:val="left" w:pos="5040" w:leader="none"/>
        <w:tab w:val="left" w:pos="5760" w:leader="none"/>
        <w:tab w:val="left" w:pos="6480" w:leader="none"/>
      </w:tabs>
      <w:jc w:val="center"/>
      <w:outlineLvl w:val="0"/>
    </w:pPr>
    <w:rPr>
      <w:rFonts w:ascii="Courier New" w:hAnsi="Courier New" w:cs="Courier New"/>
      <w:b/>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2001-05-17T17:06:00Z</dcterms:created>
  <dc:creator>gfitzge</dc:creator>
  <dc:description/>
  <dc:language>en-CA</dc:language>
  <cp:lastModifiedBy>gfitzge</cp:lastModifiedBy>
  <dcterms:modified xsi:type="dcterms:W3CDTF">2001-05-17T17:09:00Z</dcterms:modified>
  <cp:revision>2</cp:revision>
  <dc:subject/>
  <dc:title>Attachment C</dc:title>
</cp:coreProperties>
</file>