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__,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sz w:val="22"/>
        </w:rPr>
      </w:pPr>
      <w:r>
        <w:rPr>
          <w:sz w:val="22"/>
        </w:rPr>
        <w:t xml:space="preserve">We are in receipt of your letter dated February 21, 2000 (the "TVA Letter").  The TVA Letter misrepresents the facts relating to Enron Power Marketing, Inc.'s ("Enron") requests for firm transmission and avoids addressing Enron's ongoing concerns.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 xml:space="preserve">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customer's resource supply needs, Enron needs firm transmission from TVA.  Accordingly, Enron cannot fully respond to inquiries from market participants throughout the Eastern Interconnection until Enron knows what combination of firm transmission to all such market participants will be available.  TVA knows this.  Everybody in the market knows this, and transmission providers act accordingly.  </w:t>
      </w:r>
    </w:p>
    <w:p>
      <w:pPr>
        <w:pStyle w:val="BodyTextIndent"/>
        <w:spacing w:before="120" w:after="0"/>
        <w:rPr/>
      </w:pPr>
      <w:r>
        <w:rPr/>
        <w:t>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to which customers are available.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EPMI – most before any study work was performed by TVA – as market conditions changed.  Approximately 325 of the requests were either immediately refused or retracted by TVA, [the majority of which requests were rejected by TVA after TVA unilaterally decided that it would not permit Enron to sink into one of its three control areas].  After subtracting those requests withdrawn or refused immediately, TVA had 355 requests remaining to study.  All of these requests should have been studied simultaneously by TVA and, to the extent appropriate, grants made conditionally on the OASIS with conditions noted that if Enron confirmed certain of the grants that others would then not be available.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Normal"/>
        <w:spacing w:before="120" w:after="0"/>
        <w:ind w:firstLine="720" w:end="0"/>
        <w:jc w:val="both"/>
        <w:rPr/>
      </w:pPr>
      <w:r>
        <w:rPr>
          <w:sz w:val="22"/>
        </w:rPr>
        <w:t xml:space="preserve">TVA suggests that it acted properly in granting its own marketer's requests for transmission to Ameren before responding to Enron's similar request.  You are correct that EPMI withdrew some of its requests for the Ameren point of delivery.  </w:t>
      </w:r>
      <w:r>
        <w:rPr>
          <w:i/>
          <w:sz w:val="22"/>
        </w:rPr>
        <w:t>However, TVA’s award of transmission on the Ameren paths to TVA’s marketer was made before EPMI’s withdrawal</w:t>
      </w:r>
      <w:r>
        <w:rPr>
          <w:sz w:val="22"/>
        </w:rPr>
        <w:t>.  We believe that TVA’s analysis of the propriety in awarding subsequently requested transmission to its own marketer is best left to the review of FERC staff.</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sz w:val="22"/>
        </w:rPr>
      </w:pPr>
      <w:r>
        <w:rPr>
          <w:sz w:val="22"/>
        </w:rPr>
        <w:t xml:space="preserve">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Normal"/>
        <w:spacing w:before="120" w:after="0"/>
        <w:ind w:firstLine="720" w:end="0"/>
        <w:jc w:val="both"/>
        <w:rPr>
          <w:sz w:val="22"/>
        </w:rPr>
      </w:pPr>
      <w:r>
        <w:rPr>
          <w:sz w:val="22"/>
        </w:rPr>
        <w:t xml:space="preserve">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 manner.  </w:t>
      </w:r>
    </w:p>
    <w:p>
      <w:pPr>
        <w:pStyle w:val="Heading1"/>
        <w:spacing w:before="120" w:after="0"/>
        <w:ind w:hanging="0" w:start="0"/>
        <w:rPr>
          <w:sz w:val="22"/>
        </w:rPr>
      </w:pPr>
      <w:r>
        <w:rPr>
          <w:sz w:val="22"/>
        </w:rPr>
        <w:t>Conclusion</w:t>
      </w:r>
    </w:p>
    <w:p>
      <w:pPr>
        <w:pStyle w:val="Normal"/>
        <w:spacing w:before="120" w:after="0"/>
        <w:ind w:firstLine="720" w:end="0"/>
        <w:jc w:val="both"/>
        <w:rPr>
          <w:sz w:val="22"/>
        </w:rPr>
      </w:pPr>
      <w:r>
        <w:rPr>
          <w:sz w:val="22"/>
        </w:rPr>
        <w:t>During December and January, EPMI repeatedly requested that TVA begin taking action on EPMI’s requests.  Each time, TVA personnel said that EPMI’s requests would be addressed “soon.”  At no point did TVA make claims that Enron was acting "unfairly to all market players"; that Enron was "burdening the system";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firm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firm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___,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2000-02-22T16:00:00Z</dcterms:created>
  <dc:creator>appinst</dc:creator>
  <dc:description/>
  <dc:language>en-CA</dc:language>
  <cp:lastModifiedBy>Brenda Whitehead</cp:lastModifiedBy>
  <cp:lastPrinted>2000-02-24T14:33:00Z</cp:lastPrinted>
  <dcterms:modified xsi:type="dcterms:W3CDTF">2000-02-24T18:03:00Z</dcterms:modified>
  <cp:revision>6</cp:revision>
  <dc:subject/>
  <dc:title>February 3, 2000</dc:title>
</cp:coreProperties>
</file>