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400" w:after="0"/>
        <w:ind w:hanging="86" w:end="0"/>
        <w:jc w:val="center"/>
        <w:rPr/>
      </w:pPr>
      <w:r>
        <w:rPr/>
        <w:t>November ___, 1999</w:t>
      </w:r>
    </w:p>
    <w:p>
      <w:pPr>
        <w:pStyle w:val="Normal"/>
        <w:spacing w:before="720" w:after="0"/>
        <w:ind w:hanging="86" w:end="0"/>
        <w:jc w:val="both"/>
        <w:rPr/>
      </w:pPr>
      <w:r>
        <w:rPr/>
        <w:t>Mr. W. Terry Boston</w:t>
      </w:r>
    </w:p>
    <w:p>
      <w:pPr>
        <w:pStyle w:val="Normal"/>
        <w:ind w:hanging="86" w:end="0"/>
        <w:jc w:val="both"/>
        <w:rPr/>
      </w:pPr>
      <w:r>
        <w:rPr/>
        <w:t>Executive Vice President</w:t>
      </w:r>
    </w:p>
    <w:p>
      <w:pPr>
        <w:pStyle w:val="Normal"/>
        <w:ind w:hanging="86" w:end="0"/>
        <w:jc w:val="both"/>
        <w:rPr/>
      </w:pPr>
      <w:r>
        <w:rPr/>
        <w:t>Transmission Power Supply Group</w:t>
      </w:r>
    </w:p>
    <w:p>
      <w:pPr>
        <w:pStyle w:val="Normal"/>
        <w:ind w:hanging="86" w:end="0"/>
        <w:jc w:val="both"/>
        <w:rPr/>
      </w:pPr>
      <w:r>
        <w:rPr/>
        <w:t>Tennessee Valley Authority</w:t>
      </w:r>
    </w:p>
    <w:p>
      <w:pPr>
        <w:pStyle w:val="Normal"/>
        <w:ind w:hanging="86" w:end="0"/>
        <w:jc w:val="both"/>
        <w:rPr/>
      </w:pPr>
      <w:r>
        <w:rPr/>
        <w:t>1101 Market Street</w:t>
      </w:r>
    </w:p>
    <w:p>
      <w:pPr>
        <w:pStyle w:val="Normal"/>
        <w:ind w:hanging="86" w:end="0"/>
        <w:jc w:val="both"/>
        <w:rPr/>
      </w:pPr>
      <w:r>
        <w:rPr/>
        <w:t>Chattanooga, TN  37402-2801</w:t>
      </w:r>
    </w:p>
    <w:p>
      <w:pPr>
        <w:pStyle w:val="Normal"/>
        <w:spacing w:before="240" w:after="0"/>
        <w:ind w:firstLine="720" w:end="0"/>
        <w:jc w:val="both"/>
        <w:rPr/>
      </w:pPr>
      <w:r>
        <w:rPr/>
        <w:t>RE:</w:t>
        <w:tab/>
        <w:t>Enron Control Areas  - TVA Implementation of NERC Policies</w:t>
      </w:r>
    </w:p>
    <w:p>
      <w:pPr>
        <w:pStyle w:val="Normal"/>
        <w:spacing w:before="240" w:after="0"/>
        <w:jc w:val="both"/>
        <w:rPr/>
      </w:pPr>
      <w:r>
        <w:rPr/>
        <w:t>Dear Mr. Boston:</w:t>
      </w:r>
    </w:p>
    <w:p>
      <w:pPr>
        <w:pStyle w:val="BodyTextIndent3"/>
        <w:spacing w:lineRule="auto" w:line="240"/>
        <w:ind w:end="0"/>
        <w:rPr/>
      </w:pPr>
      <w:r>
        <w:rPr/>
        <w:t xml:space="preserve">On Tuesday, October 26, 1999, the NERC Policy Interpretation Task Force issued its definitive interpretation of NERC policies.  The NERC letter is clear in its mandate: Under existing rules, TVA has the obligation to treat Enron's control areas like any other control area.  Accordingly, Enron must be permitted to "park" with the full ATC available to it into and out of its control areas.  If this right makes it impossible for TVA to analyze flows, then TVA must alter the scheduling window for everyone, including itself.  In all events, the artificial ATC limits imposed by TVA into and out of Enron's control areas must be lifted.  </w:t>
      </w:r>
    </w:p>
    <w:p>
      <w:pPr>
        <w:pStyle w:val="BodyTextIndent3"/>
        <w:spacing w:lineRule="auto" w:line="240"/>
        <w:ind w:end="0"/>
        <w:rPr/>
      </w:pPr>
      <w:r>
        <w:rPr/>
        <w:t>While TVA never should have taken the actions TVA took in June 1999, it is clear that TVA must take immediate action to correct the unauthorized steps it took despite Enron's repeated request to let SERC and NERC resolve the issues.  If  TVA fails to take any action by November __, 1999, Enron will be forced to pursue all legal remedies to reinstate the rights Enron is entitled to as SERC certified control areas.</w:t>
      </w:r>
    </w:p>
    <w:p>
      <w:pPr>
        <w:pStyle w:val="Normal"/>
        <w:tabs>
          <w:tab w:val="clear" w:pos="720"/>
          <w:tab w:val="left" w:pos="4320" w:leader="none"/>
        </w:tabs>
        <w:spacing w:before="120" w:after="0"/>
        <w:ind w:firstLine="720" w:end="0"/>
        <w:jc w:val="both"/>
        <w:rPr/>
      </w:pPr>
      <w:r>
        <w:rPr/>
        <w:tab/>
        <w:t>Best regards,</w:t>
      </w:r>
    </w:p>
    <w:p>
      <w:pPr>
        <w:pStyle w:val="Normal"/>
        <w:tabs>
          <w:tab w:val="clear" w:pos="720"/>
          <w:tab w:val="left" w:pos="4320" w:leader="none"/>
        </w:tabs>
        <w:spacing w:before="120" w:after="0"/>
        <w:ind w:firstLine="720" w:end="0"/>
        <w:jc w:val="both"/>
        <w:rPr/>
      </w:pPr>
      <w:r>
        <w:rPr/>
      </w:r>
    </w:p>
    <w:p>
      <w:pPr>
        <w:pStyle w:val="Normal"/>
        <w:tabs>
          <w:tab w:val="clear" w:pos="720"/>
          <w:tab w:val="left" w:pos="4320" w:leader="none"/>
        </w:tabs>
        <w:spacing w:before="120" w:after="0"/>
        <w:ind w:firstLine="720" w:end="0"/>
        <w:jc w:val="both"/>
        <w:rPr/>
      </w:pPr>
      <w:r>
        <w:rPr/>
      </w:r>
    </w:p>
    <w:p>
      <w:pPr>
        <w:pStyle w:val="Normal"/>
        <w:tabs>
          <w:tab w:val="clear" w:pos="720"/>
          <w:tab w:val="left" w:pos="4320" w:leader="none"/>
        </w:tabs>
        <w:spacing w:before="120" w:after="0"/>
        <w:ind w:firstLine="720" w:end="0"/>
        <w:jc w:val="both"/>
        <w:rPr/>
      </w:pPr>
      <w:r>
        <w:rPr/>
        <w:tab/>
        <w:t>Richard Ingersoll</w:t>
      </w:r>
    </w:p>
    <w:p>
      <w:pPr>
        <w:pStyle w:val="Normal"/>
        <w:tabs>
          <w:tab w:val="clear" w:pos="720"/>
          <w:tab w:val="left" w:pos="4320" w:leader="none"/>
        </w:tabs>
        <w:ind w:firstLine="720" w:end="0"/>
        <w:jc w:val="both"/>
        <w:rPr/>
      </w:pPr>
      <w:r>
        <w:rPr/>
        <w:tab/>
        <w:t>Vice President</w:t>
      </w:r>
    </w:p>
    <w:p>
      <w:pPr>
        <w:pStyle w:val="Normal"/>
        <w:tabs>
          <w:tab w:val="clear" w:pos="720"/>
          <w:tab w:val="left" w:pos="540" w:leader="none"/>
        </w:tabs>
        <w:spacing w:before="120" w:after="0"/>
        <w:jc w:val="both"/>
        <w:rPr/>
      </w:pPr>
      <w:r>
        <w:rPr/>
        <w:t>cc:</w:t>
        <w:tab/>
        <w:t>James N. Maughn, SERC</w:t>
      </w:r>
    </w:p>
    <w:p>
      <w:pPr>
        <w:pStyle w:val="Normal"/>
        <w:tabs>
          <w:tab w:val="clear" w:pos="720"/>
          <w:tab w:val="left" w:pos="540" w:leader="none"/>
        </w:tabs>
        <w:jc w:val="both"/>
        <w:rPr/>
      </w:pPr>
      <w:r>
        <w:rPr/>
        <w:tab/>
        <w:t>Steve Whiteley</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360" w:after="0"/>
      <w:jc w:val="center"/>
      <w:rPr>
        <w:sz w:val="12"/>
        <w:lang w:eastAsia="en-US"/>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spacing w:before="120" w:after="0"/>
      <w:rPr>
        <w:sz w:val="12"/>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/mnt/main-storage/datasets/enron-docs/doc/tva20.doc</w:t>
    </w:r>
    <w:r>
      <w:rPr>
        <w:sz w:val="12"/>
        <w:lang w:eastAsia="en-US"/>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/mnt/main-storage/datasets/enron-docs/doc/tva20.doc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rPr>
    </w:pPr>
    <w:r>
      <w:rPr>
        <w:b/>
        <w:smallCaps/>
      </w:rPr>
      <w:t>Draft of</w:t>
    </w:r>
  </w:p>
  <w:p>
    <w:pPr>
      <w:pStyle w:val="Header"/>
      <w:jc w:val="end"/>
      <w:rPr>
        <w:b/>
        <w:smallCaps/>
      </w:rPr>
    </w:pPr>
    <w:r>
      <w:rPr>
        <w:b/>
        <w:smallCaps/>
      </w:rPr>
      <w:t>Noember ___, 1999</w:t>
    </w:r>
  </w:p>
  <w:p>
    <w:pPr>
      <w:pStyle w:val="Header"/>
      <w:jc w:val="end"/>
      <w:rPr/>
    </w:pPr>
    <w:r>
      <w:rPr/>
    </w:r>
  </w:p>
  <w:p>
    <w:pPr>
      <w:pStyle w:val="Header"/>
      <w:jc w:val="end"/>
      <w:rPr/>
    </w:pPr>
    <w:r>
      <w:rPr/>
    </w:r>
  </w:p>
</w:hdr>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120" w:after="0"/>
      <w:ind w:firstLine="720" w:start="0" w:end="0"/>
      <w:jc w:val="both"/>
    </w:pPr>
    <w:rPr/>
  </w:style>
  <w:style w:type="paragraph" w:styleId="BodyTextIndent2">
    <w:name w:val="Body Text Indent 2"/>
    <w:basedOn w:val="Normal"/>
    <w:qFormat/>
    <w:pPr>
      <w:spacing w:before="120" w:after="0"/>
      <w:ind w:hanging="0" w:start="720" w:end="0"/>
      <w:jc w:val="both"/>
    </w:pPr>
    <w:rPr/>
  </w:style>
  <w:style w:type="paragraph" w:styleId="BlockText">
    <w:name w:val="Block Text"/>
    <w:basedOn w:val="Normal"/>
    <w:qFormat/>
    <w:pPr>
      <w:spacing w:before="120" w:after="0"/>
      <w:ind w:hanging="0" w:start="1260" w:end="7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spacing w:lineRule="auto" w:line="360" w:before="120" w:after="0"/>
      <w:ind w:firstLine="720" w:start="0" w:end="72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1999-11-01T13:02:00Z</dcterms:created>
  <dc:creator>Brenda Whitehead</dc:creator>
  <dc:description/>
  <dc:language>en-CA</dc:language>
  <cp:lastModifiedBy>Brenda Whitehead</cp:lastModifiedBy>
  <cp:lastPrinted>1999-11-01T11:22:00Z</cp:lastPrinted>
  <dcterms:modified xsi:type="dcterms:W3CDTF">1999-11-01T14:53:00Z</dcterms:modified>
  <cp:revision>7</cp:revision>
  <dc:subject/>
  <dc:title>We are writing to inform you of the improper actions being taken at the SERC Board Meeting, specifically by ____________ of ______________, _______________ of _____________ and _______________, ______________ on October 27th that Enron believes are illeg</dc:title>
</cp:coreProperties>
</file>