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center" w:pos="4680" w:leader="none"/>
        </w:tabs>
        <w:jc w:val="both"/>
        <w:rPr>
          <w:sz w:val="22"/>
        </w:rPr>
      </w:pPr>
      <w:r>
        <w:rPr>
          <w:sz w:val="22"/>
        </w:rPr>
        <w:tab/>
      </w: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rPr>
          <w:sz w:val="22"/>
        </w:rPr>
      </w:pPr>
      <w:r>
        <w:rPr>
          <w:sz w:val="22"/>
        </w:rPr>
        <w:t>VIA Telecopy</w:t>
      </w:r>
    </w:p>
    <w:p>
      <w:pPr>
        <w:pStyle w:val="Normal"/>
        <w:jc w:val="both"/>
        <w:rPr>
          <w:sz w:val="22"/>
        </w:rPr>
      </w:pPr>
      <w:r>
        <w:rPr>
          <w:sz w:val="22"/>
        </w:rPr>
      </w:r>
    </w:p>
    <w:p>
      <w:pPr>
        <w:pStyle w:val="Normal"/>
        <w:jc w:val="both"/>
        <w:rPr>
          <w:sz w:val="22"/>
        </w:rPr>
      </w:pPr>
      <w:r>
        <w:rPr>
          <w:sz w:val="22"/>
        </w:rPr>
        <w:t>Tennessee Valley Authority</w:t>
      </w:r>
    </w:p>
    <w:p>
      <w:pPr>
        <w:pStyle w:val="Normal"/>
        <w:jc w:val="both"/>
        <w:rPr>
          <w:sz w:val="22"/>
        </w:rPr>
      </w:pPr>
      <w:r>
        <w:rPr>
          <w:sz w:val="22"/>
        </w:rPr>
        <w:t>1101 Market Street</w:t>
      </w:r>
    </w:p>
    <w:p>
      <w:pPr>
        <w:pStyle w:val="Normal"/>
        <w:jc w:val="both"/>
        <w:rPr>
          <w:sz w:val="22"/>
        </w:rPr>
      </w:pPr>
      <w:r>
        <w:rPr>
          <w:sz w:val="22"/>
        </w:rPr>
        <w:t>Chattanooga, Tennessee 37402-2601</w:t>
      </w:r>
    </w:p>
    <w:p>
      <w:pPr>
        <w:pStyle w:val="Normal"/>
        <w:jc w:val="both"/>
        <w:rPr>
          <w:sz w:val="22"/>
        </w:rPr>
      </w:pPr>
      <w:r>
        <w:rPr>
          <w:sz w:val="22"/>
        </w:rPr>
        <w:t>Attention:  Electric System Operations</w:t>
      </w:r>
    </w:p>
    <w:p>
      <w:pPr>
        <w:pStyle w:val="Normal"/>
        <w:jc w:val="both"/>
        <w:rPr>
          <w:sz w:val="22"/>
        </w:rPr>
      </w:pPr>
      <w:r>
        <w:rPr>
          <w:sz w:val="22"/>
        </w:rPr>
      </w:r>
    </w:p>
    <w:p>
      <w:pPr>
        <w:pStyle w:val="Normal"/>
        <w:jc w:val="both"/>
        <w:rPr>
          <w:sz w:val="22"/>
        </w:rPr>
      </w:pPr>
      <w:r>
        <w:rPr>
          <w:sz w:val="22"/>
        </w:rPr>
        <w:t>Tennessee Valley Authority</w:t>
      </w:r>
    </w:p>
    <w:p>
      <w:pPr>
        <w:pStyle w:val="Normal"/>
        <w:jc w:val="both"/>
        <w:rPr>
          <w:sz w:val="22"/>
        </w:rPr>
      </w:pPr>
      <w:r>
        <w:rPr>
          <w:sz w:val="22"/>
        </w:rPr>
        <w:t>1101 Market Street, MR BK</w:t>
      </w:r>
    </w:p>
    <w:p>
      <w:pPr>
        <w:pStyle w:val="Normal"/>
        <w:jc w:val="both"/>
        <w:rPr>
          <w:sz w:val="22"/>
        </w:rPr>
      </w:pPr>
      <w:r>
        <w:rPr>
          <w:sz w:val="22"/>
        </w:rPr>
        <w:t>Chattanooga, Tennessee 37402-2801</w:t>
      </w:r>
    </w:p>
    <w:p>
      <w:pPr>
        <w:pStyle w:val="Normal"/>
        <w:jc w:val="both"/>
        <w:rPr>
          <w:sz w:val="22"/>
        </w:rPr>
      </w:pPr>
      <w:r>
        <w:rPr>
          <w:sz w:val="22"/>
        </w:rPr>
        <w:t>Attention: Mr. Gary Jackson</w:t>
      </w:r>
    </w:p>
    <w:p>
      <w:pPr>
        <w:pStyle w:val="Normal"/>
        <w:jc w:val="both"/>
        <w:rPr>
          <w:sz w:val="22"/>
        </w:rPr>
      </w:pPr>
      <w:r>
        <w:rPr>
          <w:sz w:val="22"/>
        </w:rPr>
      </w:r>
    </w:p>
    <w:p>
      <w:pPr>
        <w:pStyle w:val="Normal"/>
        <w:tabs>
          <w:tab w:val="clear" w:pos="720"/>
          <w:tab w:val="left" w:pos="-1440" w:leader="none"/>
        </w:tabs>
        <w:ind w:hanging="720" w:start="1440" w:end="0"/>
        <w:jc w:val="both"/>
        <w:rPr>
          <w:sz w:val="22"/>
        </w:rPr>
      </w:pPr>
      <w:r>
        <w:rPr>
          <w:sz w:val="22"/>
        </w:rPr>
        <w:t>Re:</w:t>
        <w:tab/>
        <w:t>December 6, 1995 Master Option Purchase Agreement by and between Enron Power Marketing, Inc. and Tennessee Valley Authority (MOPA)</w:t>
      </w:r>
    </w:p>
    <w:p>
      <w:pPr>
        <w:pStyle w:val="Normal"/>
        <w:jc w:val="both"/>
        <w:rPr>
          <w:sz w:val="22"/>
        </w:rPr>
      </w:pPr>
      <w:r>
        <w:rPr>
          <w:sz w:val="22"/>
        </w:rPr>
      </w:r>
    </w:p>
    <w:p>
      <w:pPr>
        <w:pStyle w:val="Normal"/>
        <w:jc w:val="both"/>
        <w:rPr>
          <w:sz w:val="22"/>
        </w:rPr>
      </w:pPr>
      <w:r>
        <w:rPr>
          <w:sz w:val="22"/>
        </w:rPr>
        <w:t>Dear Mr. Jackson:</w:t>
      </w:r>
    </w:p>
    <w:p>
      <w:pPr>
        <w:pStyle w:val="Normal"/>
        <w:jc w:val="both"/>
        <w:rPr>
          <w:sz w:val="22"/>
        </w:rPr>
      </w:pPr>
      <w:r>
        <w:rPr>
          <w:sz w:val="22"/>
        </w:rPr>
      </w:r>
    </w:p>
    <w:p>
      <w:pPr>
        <w:pStyle w:val="Normal"/>
        <w:jc w:val="both"/>
        <w:rPr>
          <w:sz w:val="22"/>
        </w:rPr>
      </w:pPr>
      <w:r>
        <w:rPr>
          <w:sz w:val="22"/>
        </w:rPr>
        <w:tab/>
        <w:t>As a follow-up to our letter of October 14, 1999, EPMI has hired Arthur Anderson, independent auditors, to perform an audit of amounts TVA claims are owing  for July deliveries under the MOPA.  In connection therewith, we have also received your invoice for August deliveries and also dispute such invoice.</w:t>
      </w:r>
    </w:p>
    <w:p>
      <w:pPr>
        <w:pStyle w:val="Normal"/>
        <w:jc w:val="both"/>
        <w:rPr>
          <w:sz w:val="22"/>
        </w:rPr>
      </w:pPr>
      <w:r>
        <w:rPr>
          <w:sz w:val="22"/>
        </w:rPr>
      </w:r>
    </w:p>
    <w:p>
      <w:pPr>
        <w:pStyle w:val="Normal"/>
        <w:jc w:val="both"/>
        <w:rPr>
          <w:sz w:val="22"/>
        </w:rPr>
      </w:pPr>
      <w:r>
        <w:rPr>
          <w:sz w:val="22"/>
        </w:rPr>
        <w:tab/>
        <w:t>At your earliest possible convenience, we would like the following information to be made available to Arthur Anderson for its review. Unless stated otherwise, the information should be provided for the period from July 1, 1999 through August 31, 1999 (the "Audit Period").</w:t>
      </w:r>
    </w:p>
    <w:p>
      <w:pPr>
        <w:pStyle w:val="Normal"/>
        <w:jc w:val="both"/>
        <w:rPr>
          <w:sz w:val="22"/>
        </w:rPr>
      </w:pPr>
      <w:r>
        <w:rPr>
          <w:sz w:val="22"/>
        </w:rPr>
      </w:r>
    </w:p>
    <w:p>
      <w:pPr>
        <w:pStyle w:val="Normal"/>
        <w:jc w:val="both"/>
        <w:rPr/>
      </w:pPr>
      <w:r>
        <w:rPr>
          <w:b/>
          <w:sz w:val="22"/>
          <w:u w:val="single"/>
        </w:rPr>
        <w:t>Invoice Number E99-09-429</w:t>
      </w:r>
      <w:r>
        <w:rPr>
          <w:sz w:val="22"/>
        </w:rPr>
        <w:t>:</w:t>
      </w:r>
    </w:p>
    <w:p>
      <w:pPr>
        <w:pStyle w:val="Normal"/>
        <w:jc w:val="both"/>
        <w:rPr>
          <w:sz w:val="22"/>
        </w:rPr>
      </w:pPr>
      <w:r>
        <w:rPr>
          <w:sz w:val="22"/>
        </w:rPr>
      </w:r>
    </w:p>
    <w:p>
      <w:pPr>
        <w:pStyle w:val="Normal"/>
        <w:numPr>
          <w:ilvl w:val="0"/>
          <w:numId w:val="2"/>
        </w:numPr>
        <w:tabs>
          <w:tab w:val="left" w:pos="720" w:leader="none"/>
        </w:tabs>
        <w:ind w:hanging="360" w:start="720" w:end="0"/>
        <w:jc w:val="both"/>
        <w:rPr>
          <w:sz w:val="22"/>
        </w:rPr>
      </w:pPr>
      <w:r>
        <w:rPr>
          <w:sz w:val="22"/>
        </w:rPr>
        <w:t>Hour-by-hour amounts TVA claims it is owed and the basis for each such claim</w:t>
      </w:r>
    </w:p>
    <w:p>
      <w:pPr>
        <w:pStyle w:val="Normal"/>
        <w:ind w:start="360" w:end="0"/>
        <w:jc w:val="both"/>
        <w:rPr>
          <w:sz w:val="22"/>
        </w:rPr>
      </w:pPr>
      <w:r>
        <w:rPr>
          <w:sz w:val="22"/>
        </w:rPr>
      </w:r>
    </w:p>
    <w:p>
      <w:pPr>
        <w:pStyle w:val="Normal"/>
        <w:jc w:val="both"/>
        <w:rPr/>
      </w:pPr>
      <w:r>
        <w:rPr>
          <w:b/>
          <w:sz w:val="22"/>
          <w:u w:val="single"/>
        </w:rPr>
        <w:t>Invoice Number E99-09-431</w:t>
      </w:r>
      <w:r>
        <w:rPr>
          <w:sz w:val="22"/>
        </w:rPr>
        <w:t>:</w:t>
      </w:r>
    </w:p>
    <w:p>
      <w:pPr>
        <w:pStyle w:val="Normal"/>
        <w:jc w:val="both"/>
        <w:rPr>
          <w:sz w:val="22"/>
        </w:rPr>
      </w:pPr>
      <w:r>
        <w:rPr>
          <w:sz w:val="22"/>
        </w:rPr>
      </w:r>
    </w:p>
    <w:p>
      <w:pPr>
        <w:pStyle w:val="Normal"/>
        <w:numPr>
          <w:ilvl w:val="0"/>
          <w:numId w:val="2"/>
        </w:numPr>
        <w:tabs>
          <w:tab w:val="left" w:pos="720" w:leader="none"/>
        </w:tabs>
        <w:ind w:hanging="360" w:start="720" w:end="0"/>
        <w:jc w:val="both"/>
        <w:rPr>
          <w:sz w:val="22"/>
        </w:rPr>
      </w:pPr>
      <w:r>
        <w:rPr>
          <w:sz w:val="22"/>
        </w:rPr>
        <w:t>Hour-by-hour amounts TVA claims it is owed and the basis for each such claim</w:t>
      </w:r>
    </w:p>
    <w:p>
      <w:pPr>
        <w:pStyle w:val="Normal"/>
        <w:jc w:val="both"/>
        <w:rPr>
          <w:sz w:val="22"/>
        </w:rPr>
      </w:pPr>
      <w:r>
        <w:rPr>
          <w:sz w:val="22"/>
        </w:rPr>
      </w:r>
    </w:p>
    <w:p>
      <w:pPr>
        <w:pStyle w:val="Normal"/>
        <w:jc w:val="both"/>
        <w:rPr/>
      </w:pPr>
      <w:r>
        <w:rPr>
          <w:b/>
          <w:sz w:val="22"/>
          <w:u w:val="single"/>
        </w:rPr>
        <w:t>Generation Availability</w:t>
      </w:r>
      <w:r>
        <w:rPr>
          <w:sz w:val="22"/>
        </w:rPr>
        <w:t>:</w:t>
      </w:r>
    </w:p>
    <w:p>
      <w:pPr>
        <w:pStyle w:val="Normal"/>
        <w:jc w:val="both"/>
        <w:rPr>
          <w:sz w:val="22"/>
        </w:rPr>
      </w:pPr>
      <w:r>
        <w:rPr>
          <w:sz w:val="22"/>
        </w:rPr>
      </w:r>
    </w:p>
    <w:p>
      <w:pPr>
        <w:pStyle w:val="Normal"/>
        <w:numPr>
          <w:ilvl w:val="0"/>
          <w:numId w:val="2"/>
        </w:numPr>
        <w:tabs>
          <w:tab w:val="left" w:pos="720" w:leader="none"/>
        </w:tabs>
        <w:ind w:hanging="360" w:start="720" w:end="0"/>
        <w:jc w:val="both"/>
        <w:rPr>
          <w:sz w:val="22"/>
        </w:rPr>
      </w:pPr>
      <w:r>
        <w:rPr>
          <w:sz w:val="22"/>
        </w:rPr>
        <w:t>Complete summary of all generation owned or controlled by TVA, including capacity amounts</w:t>
      </w:r>
    </w:p>
    <w:p>
      <w:pPr>
        <w:pStyle w:val="Normal"/>
        <w:numPr>
          <w:ilvl w:val="0"/>
          <w:numId w:val="2"/>
        </w:numPr>
        <w:tabs>
          <w:tab w:val="left" w:pos="720" w:leader="none"/>
        </w:tabs>
        <w:ind w:hanging="360" w:start="720" w:end="0"/>
        <w:jc w:val="both"/>
        <w:rPr>
          <w:sz w:val="22"/>
        </w:rPr>
      </w:pPr>
      <w:r>
        <w:rPr>
          <w:sz w:val="22"/>
        </w:rPr>
        <w:t>Complete summary of all contracts pursuant to which TVA purchased or had the right to purchase power during the Audit Period</w:t>
      </w:r>
    </w:p>
    <w:p>
      <w:pPr>
        <w:pStyle w:val="Normal"/>
        <w:numPr>
          <w:ilvl w:val="0"/>
          <w:numId w:val="2"/>
        </w:numPr>
        <w:tabs>
          <w:tab w:val="left" w:pos="720" w:leader="none"/>
        </w:tabs>
        <w:ind w:hanging="360" w:start="720" w:end="0"/>
        <w:jc w:val="both"/>
        <w:rPr>
          <w:sz w:val="22"/>
        </w:rPr>
      </w:pPr>
      <w:r>
        <w:rPr>
          <w:sz w:val="22"/>
        </w:rPr>
        <w:t>Hour-by-hour listing of all generation utilized by TVA</w:t>
      </w:r>
    </w:p>
    <w:p>
      <w:pPr>
        <w:pStyle w:val="Normal"/>
        <w:numPr>
          <w:ilvl w:val="0"/>
          <w:numId w:val="2"/>
        </w:numPr>
        <w:tabs>
          <w:tab w:val="left" w:pos="720" w:leader="none"/>
        </w:tabs>
        <w:ind w:hanging="360" w:start="720" w:end="0"/>
        <w:jc w:val="both"/>
        <w:rPr>
          <w:sz w:val="22"/>
        </w:rPr>
      </w:pPr>
      <w:r>
        <w:rPr>
          <w:sz w:val="22"/>
        </w:rPr>
        <w:t>All reserve sharing agreements or other arrangements TVA has in place pursuant to which TVA may receive energy from third parties</w:t>
      </w:r>
    </w:p>
    <w:p>
      <w:pPr>
        <w:pStyle w:val="Normal"/>
        <w:jc w:val="both"/>
        <w:rPr>
          <w:sz w:val="22"/>
        </w:rPr>
      </w:pPr>
      <w:r>
        <w:rPr>
          <w:sz w:val="22"/>
        </w:rPr>
      </w:r>
    </w:p>
    <w:p>
      <w:pPr>
        <w:pStyle w:val="Normal"/>
        <w:jc w:val="both"/>
        <w:rPr/>
      </w:pPr>
      <w:r>
        <w:rPr>
          <w:b/>
          <w:sz w:val="22"/>
          <w:u w:val="single"/>
        </w:rPr>
        <w:t>Generation Costs</w:t>
      </w:r>
      <w:r>
        <w:rPr>
          <w:sz w:val="22"/>
        </w:rPr>
        <w:t>:</w:t>
      </w:r>
    </w:p>
    <w:p>
      <w:pPr>
        <w:pStyle w:val="Normal"/>
        <w:jc w:val="both"/>
        <w:rPr>
          <w:sz w:val="22"/>
        </w:rPr>
      </w:pPr>
      <w:r>
        <w:rPr>
          <w:sz w:val="22"/>
        </w:rPr>
      </w:r>
    </w:p>
    <w:p>
      <w:pPr>
        <w:pStyle w:val="Normal"/>
        <w:numPr>
          <w:ilvl w:val="0"/>
          <w:numId w:val="2"/>
        </w:numPr>
        <w:tabs>
          <w:tab w:val="left" w:pos="720" w:leader="none"/>
        </w:tabs>
        <w:ind w:hanging="360" w:start="720" w:end="0"/>
        <w:jc w:val="both"/>
        <w:rPr>
          <w:sz w:val="22"/>
        </w:rPr>
      </w:pPr>
      <w:r>
        <w:rPr>
          <w:sz w:val="22"/>
        </w:rPr>
        <w:t>Hour-by-hour analysis of the costs of TVA's generation, with a detailed analysis of calculation, including data related to hourly fuel costs, unit heat rates, and hourly system marginal cost</w:t>
      </w:r>
    </w:p>
    <w:p>
      <w:pPr>
        <w:pStyle w:val="Normal"/>
        <w:numPr>
          <w:ilvl w:val="0"/>
          <w:numId w:val="2"/>
        </w:numPr>
        <w:tabs>
          <w:tab w:val="left" w:pos="720" w:leader="none"/>
        </w:tabs>
        <w:ind w:hanging="360" w:start="720" w:end="0"/>
        <w:jc w:val="both"/>
        <w:rPr>
          <w:sz w:val="22"/>
        </w:rPr>
      </w:pPr>
      <w:r>
        <w:rPr>
          <w:sz w:val="22"/>
        </w:rPr>
        <w:t>Hourly volume and purchase price of power for all contracts or other arrangements supplied above</w:t>
      </w:r>
    </w:p>
    <w:p>
      <w:pPr>
        <w:pStyle w:val="Normal"/>
        <w:jc w:val="both"/>
        <w:rPr>
          <w:sz w:val="22"/>
        </w:rPr>
      </w:pPr>
      <w:r>
        <w:rPr>
          <w:sz w:val="22"/>
        </w:rPr>
      </w:r>
    </w:p>
    <w:p>
      <w:pPr>
        <w:pStyle w:val="Normal"/>
        <w:jc w:val="both"/>
        <w:rPr/>
      </w:pPr>
      <w:r>
        <w:rPr>
          <w:b/>
          <w:sz w:val="22"/>
          <w:u w:val="single"/>
        </w:rPr>
        <w:t>Interchange Transactions</w:t>
      </w:r>
      <w:r>
        <w:rPr>
          <w:sz w:val="22"/>
        </w:rPr>
        <w:t>:</w:t>
      </w:r>
    </w:p>
    <w:p>
      <w:pPr>
        <w:pStyle w:val="Normal"/>
        <w:jc w:val="both"/>
        <w:rPr>
          <w:sz w:val="22"/>
        </w:rPr>
      </w:pPr>
      <w:r>
        <w:rPr>
          <w:sz w:val="22"/>
        </w:rPr>
      </w:r>
    </w:p>
    <w:p>
      <w:pPr>
        <w:pStyle w:val="Normal"/>
        <w:numPr>
          <w:ilvl w:val="0"/>
          <w:numId w:val="2"/>
        </w:numPr>
        <w:tabs>
          <w:tab w:val="left" w:pos="720" w:leader="none"/>
        </w:tabs>
        <w:ind w:hanging="360" w:start="720" w:end="0"/>
        <w:jc w:val="both"/>
        <w:rPr>
          <w:sz w:val="22"/>
        </w:rPr>
      </w:pPr>
      <w:r>
        <w:rPr>
          <w:sz w:val="22"/>
        </w:rPr>
        <w:t>All hourly purchases by TVA, quantity and price</w:t>
      </w:r>
    </w:p>
    <w:p>
      <w:pPr>
        <w:pStyle w:val="Normal"/>
        <w:numPr>
          <w:ilvl w:val="0"/>
          <w:numId w:val="2"/>
        </w:numPr>
        <w:tabs>
          <w:tab w:val="left" w:pos="720" w:leader="none"/>
        </w:tabs>
        <w:ind w:hanging="360" w:start="720" w:end="0"/>
        <w:jc w:val="both"/>
        <w:rPr>
          <w:sz w:val="22"/>
        </w:rPr>
      </w:pPr>
      <w:r>
        <w:rPr>
          <w:sz w:val="22"/>
        </w:rPr>
        <w:t>All hourly sales by TVA, quantity and price</w:t>
      </w:r>
    </w:p>
    <w:p>
      <w:pPr>
        <w:pStyle w:val="Normal"/>
        <w:numPr>
          <w:ilvl w:val="0"/>
          <w:numId w:val="2"/>
        </w:numPr>
        <w:tabs>
          <w:tab w:val="left" w:pos="720" w:leader="none"/>
        </w:tabs>
        <w:ind w:hanging="360" w:start="720" w:end="0"/>
        <w:jc w:val="both"/>
        <w:rPr>
          <w:sz w:val="22"/>
        </w:rPr>
      </w:pPr>
      <w:r>
        <w:rPr>
          <w:sz w:val="22"/>
        </w:rPr>
        <w:t>All hourly offers to purchase made by TVA, quantity and price</w:t>
      </w:r>
    </w:p>
    <w:p>
      <w:pPr>
        <w:pStyle w:val="Normal"/>
        <w:numPr>
          <w:ilvl w:val="0"/>
          <w:numId w:val="2"/>
        </w:numPr>
        <w:tabs>
          <w:tab w:val="left" w:pos="720" w:leader="none"/>
        </w:tabs>
        <w:ind w:hanging="360" w:start="720" w:end="0"/>
        <w:jc w:val="both"/>
        <w:rPr>
          <w:sz w:val="22"/>
        </w:rPr>
      </w:pPr>
      <w:r>
        <w:rPr>
          <w:sz w:val="22"/>
        </w:rPr>
        <w:t>All hourly offers to sell made by TVA, including offers made t curtailable purchasers of energy, quantity and price</w:t>
      </w:r>
    </w:p>
    <w:p>
      <w:pPr>
        <w:pStyle w:val="Normal"/>
        <w:numPr>
          <w:ilvl w:val="0"/>
          <w:numId w:val="2"/>
        </w:numPr>
        <w:tabs>
          <w:tab w:val="left" w:pos="720" w:leader="none"/>
        </w:tabs>
        <w:ind w:hanging="360" w:start="720" w:end="0"/>
        <w:jc w:val="both"/>
        <w:rPr>
          <w:sz w:val="22"/>
        </w:rPr>
      </w:pPr>
      <w:r>
        <w:rPr>
          <w:sz w:val="22"/>
        </w:rPr>
        <w:t>All hourly transmission requests, quantity and counterparty</w:t>
      </w:r>
    </w:p>
    <w:p>
      <w:pPr>
        <w:pStyle w:val="Normal"/>
        <w:jc w:val="both"/>
        <w:rPr>
          <w:sz w:val="22"/>
        </w:rPr>
      </w:pPr>
      <w:r>
        <w:rPr>
          <w:sz w:val="22"/>
        </w:rPr>
      </w:r>
    </w:p>
    <w:p>
      <w:pPr>
        <w:pStyle w:val="Normal"/>
        <w:jc w:val="both"/>
        <w:rPr/>
      </w:pPr>
      <w:r>
        <w:rPr>
          <w:b/>
          <w:sz w:val="22"/>
          <w:u w:val="single"/>
        </w:rPr>
        <w:t>Curtailments</w:t>
      </w:r>
      <w:r>
        <w:rPr>
          <w:sz w:val="22"/>
        </w:rPr>
        <w:t>:</w:t>
      </w:r>
    </w:p>
    <w:p>
      <w:pPr>
        <w:pStyle w:val="Normal"/>
        <w:jc w:val="both"/>
        <w:rPr>
          <w:sz w:val="22"/>
        </w:rPr>
      </w:pPr>
      <w:r>
        <w:rPr>
          <w:sz w:val="22"/>
        </w:rPr>
      </w:r>
    </w:p>
    <w:p>
      <w:pPr>
        <w:pStyle w:val="Normal"/>
        <w:numPr>
          <w:ilvl w:val="0"/>
          <w:numId w:val="2"/>
        </w:numPr>
        <w:tabs>
          <w:tab w:val="left" w:pos="720" w:leader="none"/>
        </w:tabs>
        <w:ind w:hanging="360" w:start="720" w:end="0"/>
        <w:jc w:val="both"/>
        <w:rPr>
          <w:sz w:val="22"/>
        </w:rPr>
      </w:pPr>
      <w:r>
        <w:rPr>
          <w:sz w:val="22"/>
        </w:rPr>
        <w:t>List of all purchasers with curtailable arrangements with TVA</w:t>
      </w:r>
    </w:p>
    <w:p>
      <w:pPr>
        <w:pStyle w:val="Normal"/>
        <w:numPr>
          <w:ilvl w:val="0"/>
          <w:numId w:val="2"/>
        </w:numPr>
        <w:tabs>
          <w:tab w:val="left" w:pos="720" w:leader="none"/>
        </w:tabs>
        <w:ind w:hanging="360" w:start="720" w:end="0"/>
        <w:jc w:val="both"/>
        <w:rPr>
          <w:sz w:val="22"/>
        </w:rPr>
      </w:pPr>
      <w:r>
        <w:rPr>
          <w:sz w:val="22"/>
        </w:rPr>
        <w:t>List of those customers that were curtailed by TVA</w:t>
      </w:r>
    </w:p>
    <w:p>
      <w:pPr>
        <w:pStyle w:val="Normal"/>
        <w:numPr>
          <w:ilvl w:val="0"/>
          <w:numId w:val="2"/>
        </w:numPr>
        <w:tabs>
          <w:tab w:val="left" w:pos="720" w:leader="none"/>
        </w:tabs>
        <w:ind w:hanging="360" w:start="720" w:end="0"/>
        <w:jc w:val="both"/>
        <w:rPr>
          <w:sz w:val="22"/>
        </w:rPr>
      </w:pPr>
      <w:r>
        <w:rPr>
          <w:sz w:val="22"/>
        </w:rPr>
        <w:t>Hour-by-hour listing of hourly load curtailed, including MWhs involved</w:t>
      </w:r>
    </w:p>
    <w:p>
      <w:pPr>
        <w:pStyle w:val="Normal"/>
        <w:numPr>
          <w:ilvl w:val="0"/>
          <w:numId w:val="2"/>
        </w:numPr>
        <w:tabs>
          <w:tab w:val="left" w:pos="720" w:leader="none"/>
        </w:tabs>
        <w:ind w:hanging="360" w:start="720" w:end="0"/>
        <w:jc w:val="both"/>
        <w:rPr>
          <w:sz w:val="22"/>
        </w:rPr>
      </w:pPr>
      <w:r>
        <w:rPr>
          <w:sz w:val="22"/>
        </w:rPr>
        <w:t>Hour-by-hour listing of all non-deliveries by TVA, including MWhs involved</w:t>
      </w:r>
    </w:p>
    <w:p>
      <w:pPr>
        <w:pStyle w:val="Normal"/>
        <w:jc w:val="both"/>
        <w:rPr>
          <w:sz w:val="22"/>
        </w:rPr>
      </w:pPr>
      <w:r>
        <w:rPr>
          <w:sz w:val="22"/>
        </w:rPr>
      </w:r>
    </w:p>
    <w:p>
      <w:pPr>
        <w:pStyle w:val="Heading2"/>
        <w:ind w:hanging="0" w:start="0"/>
        <w:rPr/>
      </w:pPr>
      <w:r>
        <w:rPr/>
        <w:t>Transmission</w:t>
      </w:r>
      <w:r>
        <w:rPr>
          <w:b w:val="false"/>
          <w:u w:val="none"/>
        </w:rPr>
        <w:t>:</w:t>
      </w:r>
    </w:p>
    <w:p>
      <w:pPr>
        <w:pStyle w:val="Normal"/>
        <w:rPr>
          <w:b/>
          <w:sz w:val="22"/>
          <w:u w:val="none"/>
        </w:rPr>
      </w:pPr>
      <w:r>
        <w:rPr>
          <w:b/>
          <w:sz w:val="22"/>
          <w:u w:val="none"/>
        </w:rPr>
      </w:r>
    </w:p>
    <w:p>
      <w:pPr>
        <w:pStyle w:val="Normal"/>
        <w:numPr>
          <w:ilvl w:val="0"/>
          <w:numId w:val="2"/>
        </w:numPr>
        <w:tabs>
          <w:tab w:val="left" w:pos="720" w:leader="none"/>
        </w:tabs>
        <w:ind w:hanging="360" w:start="720" w:end="0"/>
        <w:jc w:val="both"/>
        <w:rPr>
          <w:sz w:val="22"/>
        </w:rPr>
      </w:pPr>
      <w:r>
        <w:rPr>
          <w:sz w:val="22"/>
        </w:rPr>
        <w:t>Hour-by-hour amount of capacity benefit margin ("CBM") claimed by TVA for each Permitted Delivery Point on Exhibit 4.1(a) (the "PDPs")</w:t>
      </w:r>
    </w:p>
    <w:p>
      <w:pPr>
        <w:pStyle w:val="Normal"/>
        <w:numPr>
          <w:ilvl w:val="0"/>
          <w:numId w:val="2"/>
        </w:numPr>
        <w:tabs>
          <w:tab w:val="left" w:pos="720" w:leader="none"/>
        </w:tabs>
        <w:ind w:hanging="360" w:start="720" w:end="0"/>
        <w:jc w:val="both"/>
        <w:rPr>
          <w:sz w:val="22"/>
        </w:rPr>
      </w:pPr>
      <w:r>
        <w:rPr>
          <w:sz w:val="22"/>
        </w:rPr>
        <w:t>Hour-by-hour amount of Transmission Reserve Margin ("TRM") claimed by TVA for each PdP</w:t>
      </w:r>
    </w:p>
    <w:p>
      <w:pPr>
        <w:pStyle w:val="Normal"/>
        <w:numPr>
          <w:ilvl w:val="0"/>
          <w:numId w:val="2"/>
        </w:numPr>
        <w:tabs>
          <w:tab w:val="left" w:pos="720" w:leader="none"/>
        </w:tabs>
        <w:ind w:hanging="360" w:start="720" w:end="0"/>
        <w:jc w:val="both"/>
        <w:rPr>
          <w:sz w:val="22"/>
        </w:rPr>
      </w:pPr>
      <w:r>
        <w:rPr>
          <w:sz w:val="22"/>
        </w:rPr>
        <w:t>Hour-by-hour listing of all firm (hourly, monthly, yearly) transmission granted by TVA with respect to the PDPs</w:t>
      </w:r>
    </w:p>
    <w:p>
      <w:pPr>
        <w:pStyle w:val="Normal"/>
        <w:numPr>
          <w:ilvl w:val="0"/>
          <w:numId w:val="2"/>
        </w:numPr>
        <w:tabs>
          <w:tab w:val="left" w:pos="720" w:leader="none"/>
        </w:tabs>
        <w:ind w:hanging="360" w:start="720" w:end="0"/>
        <w:jc w:val="both"/>
        <w:rPr>
          <w:sz w:val="22"/>
        </w:rPr>
      </w:pPr>
      <w:r>
        <w:rPr>
          <w:sz w:val="22"/>
        </w:rPr>
        <w:t>Hour-by-hour listing of all non-firm sales made by TVA with respect to the PDPs</w:t>
      </w:r>
    </w:p>
    <w:p>
      <w:pPr>
        <w:pStyle w:val="Normal"/>
        <w:numPr>
          <w:ilvl w:val="0"/>
          <w:numId w:val="2"/>
        </w:numPr>
        <w:tabs>
          <w:tab w:val="left" w:pos="720" w:leader="none"/>
        </w:tabs>
        <w:ind w:hanging="360" w:start="720" w:end="0"/>
        <w:jc w:val="both"/>
        <w:rPr>
          <w:sz w:val="22"/>
        </w:rPr>
      </w:pPr>
      <w:r>
        <w:rPr>
          <w:sz w:val="22"/>
        </w:rPr>
        <w:t>Analysis of TVA's methodology for determining TTC, TRM, CBM, and ATC</w:t>
      </w:r>
    </w:p>
    <w:p>
      <w:pPr>
        <w:pStyle w:val="Normal"/>
        <w:rPr>
          <w:sz w:val="22"/>
        </w:rPr>
      </w:pPr>
      <w:r>
        <w:rPr>
          <w:sz w:val="22"/>
        </w:rPr>
      </w:r>
    </w:p>
    <w:p>
      <w:pPr>
        <w:pStyle w:val="Normal"/>
        <w:jc w:val="both"/>
        <w:rPr>
          <w:sz w:val="22"/>
        </w:rPr>
      </w:pPr>
      <w:r>
        <w:rPr>
          <w:sz w:val="22"/>
        </w:rPr>
        <w:tab/>
        <w:t xml:space="preserve">Please notify us immediately when you anticipate having such information available and when Arthur Anderson would be able to review such data. As you are aware, TVA has not yet paid EPMI's invoices for July and August.  This request may be supplemented from time to time as we conduct the audit.  If you would like Arthur Anderson to provide you a confidentiality agreement, please immediately forward to us one for their review. </w:t>
      </w:r>
    </w:p>
    <w:p>
      <w:pPr>
        <w:pStyle w:val="Normal"/>
        <w:jc w:val="both"/>
        <w:rPr>
          <w:sz w:val="22"/>
        </w:rPr>
      </w:pPr>
      <w:r>
        <w:rPr>
          <w:sz w:val="22"/>
        </w:rPr>
      </w:r>
    </w:p>
    <w:p>
      <w:pPr>
        <w:pStyle w:val="Normal"/>
        <w:ind w:firstLine="5040" w:end="0"/>
        <w:jc w:val="both"/>
        <w:rPr>
          <w:sz w:val="22"/>
        </w:rPr>
      </w:pPr>
      <w:r>
        <w:rPr>
          <w:sz w:val="22"/>
        </w:rPr>
        <w:t>Very truly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ind w:firstLine="5040" w:end="0"/>
        <w:jc w:val="both"/>
        <w:rPr>
          <w:sz w:val="22"/>
        </w:rPr>
      </w:pPr>
      <w:r>
        <w:rPr>
          <w:sz w:val="22"/>
        </w:rPr>
        <w:t>James B. Fallon</w:t>
      </w:r>
    </w:p>
    <w:p>
      <w:pPr>
        <w:pStyle w:val="Normal"/>
        <w:ind w:firstLine="5040" w:end="0"/>
        <w:jc w:val="both"/>
        <w:rPr>
          <w:sz w:val="22"/>
        </w:rPr>
      </w:pPr>
      <w:r>
        <w:rPr>
          <w:sz w:val="22"/>
        </w:rPr>
        <w:t>Vice President</w:t>
      </w:r>
    </w:p>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/mnt/main-storage/datasets/enron-docs/doc/tva17.doc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Tennessee Valley Authority</w:t>
    </w:r>
  </w:p>
  <w:p>
    <w:pPr>
      <w:pStyle w:val="Header"/>
      <w:rPr>
        <w:sz w:val="22"/>
      </w:rPr>
    </w:pPr>
    <w:r>
      <w:rPr>
        <w:sz w:val="22"/>
      </w:rPr>
      <w:t>Attn:  Electric System Operations</w:t>
    </w:r>
  </w:p>
  <w:p>
    <w:pPr>
      <w:pStyle w:val="Header"/>
      <w:rPr>
        <w:sz w:val="22"/>
      </w:rPr>
    </w:pPr>
    <w:r>
      <w:rPr>
        <w:sz w:val="22"/>
      </w:rPr>
      <w:t>Attn:  Mr. Gary Jackson</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both"/>
      <w:outlineLvl w:val="0"/>
    </w:pPr>
    <w:rPr>
      <w:b/>
      <w:u w:val="single"/>
    </w:rPr>
  </w:style>
  <w:style w:type="paragraph" w:styleId="Heading2">
    <w:name w:val="heading 2"/>
    <w:basedOn w:val="Normal"/>
    <w:next w:val="Normal"/>
    <w:qFormat/>
    <w:pPr>
      <w:keepNext w:val="true"/>
      <w:numPr>
        <w:ilvl w:val="1"/>
        <w:numId w:val="1"/>
      </w:numPr>
      <w:jc w:val="both"/>
      <w:outlineLvl w:val="1"/>
    </w:pPr>
    <w:rPr>
      <w:b/>
      <w:sz w:val="22"/>
      <w:u w:val="single"/>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1999-10-23T17:59:00Z</dcterms:created>
  <dc:creator>Brenda Whitehead</dc:creator>
  <dc:description/>
  <dc:language>en-CA</dc:language>
  <cp:lastModifiedBy>esager</cp:lastModifiedBy>
  <cp:lastPrinted>1999-11-03T14:52:00Z</cp:lastPrinted>
  <dcterms:modified xsi:type="dcterms:W3CDTF">1999-11-29T18:20:00Z</dcterms:modified>
  <cp:revision>7</cp:revision>
  <dc:subject/>
  <dc:title/>
</cp:coreProperties>
</file>