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400" w:after="0"/>
        <w:jc w:val="center"/>
        <w:rPr>
          <w:sz w:val="22"/>
          <w:szCs w:val="22"/>
        </w:rPr>
      </w:pPr>
      <w:r>
        <w:rPr>
          <w:sz w:val="22"/>
          <w:szCs w:val="22"/>
        </w:rPr>
        <w:fldChar w:fldCharType="begin"/>
      </w:r>
      <w:r>
        <w:rPr>
          <w:sz w:val="22"/>
          <w:szCs w:val="22"/>
        </w:rPr>
        <w:instrText xml:space="preserve"> DATE \@"MMMM\ d', 'yyyy" </w:instrText>
      </w:r>
      <w:r>
        <w:rPr>
          <w:sz w:val="22"/>
          <w:szCs w:val="22"/>
        </w:rPr>
        <w:fldChar w:fldCharType="separate"/>
      </w:r>
      <w:r>
        <w:rPr>
          <w:sz w:val="22"/>
          <w:szCs w:val="22"/>
        </w:rPr>
        <w:t>September 28, 2025</w:t>
      </w:r>
      <w:r>
        <w:rPr>
          <w:sz w:val="22"/>
          <w:szCs w:val="22"/>
        </w:rPr>
        <w:fldChar w:fldCharType="end"/>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hanging="0" w:start="0"/>
        <w:rPr/>
      </w:pPr>
      <w:r>
        <w:fldChar w:fldCharType="begin"/>
      </w:r>
      <w:r>
        <w:rPr>
          <w:sz w:val="22"/>
        </w:rPr>
        <w:instrText xml:space="preserve">ADVANCE \d36</w:instrText>
      </w:r>
      <w:r>
        <w:rPr>
          <w:sz w:val="22"/>
        </w:rPr>
      </w:r>
      <w:r>
        <w:rPr>
          <w:sz w:val="22"/>
        </w:rPr>
        <w:fldChar w:fldCharType="separate"/>
      </w:r>
      <w:r>
        <w:rPr>
          <w:sz w:val="22"/>
        </w:rPr>
      </w:r>
      <w:r>
        <w:rPr>
          <w:sz w:val="22"/>
        </w:rPr>
      </w:r>
      <w:r>
        <w:rPr>
          <w:sz w:val="22"/>
        </w:rPr>
        <w:fldChar w:fldCharType="end"/>
      </w:r>
      <w:r>
        <w:rPr>
          <w:smallCaps/>
          <w:sz w:val="22"/>
          <w:szCs w:val="22"/>
        </w:rPr>
        <w:t>VIA Telecopy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sz w:val="22"/>
        </w:rPr>
        <w:instrText xml:space="preserve">ADVANCE \d12</w:instrText>
      </w:r>
      <w:r>
        <w:rPr>
          <w:sz w:val="22"/>
        </w:rPr>
      </w:r>
      <w:r>
        <w:rPr>
          <w:sz w:val="22"/>
        </w:rPr>
        <w:fldChar w:fldCharType="separate"/>
      </w:r>
      <w:r>
        <w:rPr>
          <w:sz w:val="22"/>
        </w:rPr>
      </w:r>
      <w:r>
        <w:rPr>
          <w:sz w:val="22"/>
        </w:rPr>
      </w:r>
      <w:r>
        <w:rPr>
          <w:sz w:val="22"/>
        </w:rPr>
        <w:fldChar w:fldCharType="end"/>
      </w:r>
      <w:r>
        <w:rPr>
          <w:sz w:val="22"/>
          <w:szCs w:val="22"/>
        </w:rPr>
        <w:t>Tennessee Valley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1101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Chattanooga, Tennessee 37402-2601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Attention:  Electric System Operations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fldChar w:fldCharType="begin"/>
      </w:r>
      <w:r>
        <w:rPr>
          <w:sz w:val="22"/>
          <w:szCs w:val="20"/>
        </w:rPr>
        <w:instrText xml:space="preserve">ADVANCE \d12</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Tennessee Valley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1101 Market Street, MR BK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Chattanooga, Tennessee  37402-2801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Attention:  Mr. Gary Jackson</w:t>
      </w:r>
    </w:p>
    <w:p>
      <w:pPr>
        <w:pStyle w:val="BodyTextIndent"/>
        <w:widowControl/>
        <w:tabs>
          <w:tab w:val="clear" w:pos="180"/>
          <w:tab w:val="clear" w:pos="900"/>
          <w:tab w:val="clear" w:pos="1620"/>
          <w:tab w:val="clear" w:pos="2340"/>
          <w:tab w:val="clear" w:pos="3060"/>
          <w:tab w:val="clear" w:pos="3780"/>
          <w:tab w:val="clear" w:pos="4500"/>
          <w:tab w:val="clear" w:pos="5220"/>
          <w:tab w:val="clear" w:pos="5940"/>
          <w:tab w:val="clear" w:pos="6660"/>
          <w:tab w:val="clear" w:pos="7380"/>
          <w:tab w:val="clear" w:pos="8100"/>
          <w:tab w:val="left" w:pos="-126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sz w:val="22"/>
        </w:rPr>
        <w:instrText xml:space="preserve">ADVANCE \d12</w:instrText>
      </w:r>
      <w:r>
        <w:rPr>
          <w:sz w:val="22"/>
        </w:rPr>
      </w:r>
      <w:r>
        <w:rPr>
          <w:sz w:val="22"/>
        </w:rPr>
        <w:fldChar w:fldCharType="separate"/>
      </w:r>
      <w:r>
        <w:rPr>
          <w:sz w:val="22"/>
        </w:rPr>
      </w:r>
      <w:r>
        <w:rPr>
          <w:sz w:val="22"/>
        </w:rPr>
      </w:r>
      <w:r>
        <w:rPr>
          <w:sz w:val="22"/>
        </w:rPr>
        <w:fldChar w:fldCharType="end"/>
      </w:r>
      <w:r>
        <w:rPr>
          <w:sz w:val="22"/>
          <w:szCs w:val="22"/>
        </w:rPr>
        <w:t>Re:</w:t>
        <w:tab/>
        <w:t>December 6, 1995 Master Option Purchase Agreement ("MOPA") by and between Enron Power Marketing, Inc. ("EPMI") and Tennessee Valley Authority ("TVA")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sz w:val="22"/>
        </w:rPr>
        <w:instrText xml:space="preserve">ADVANCE \d12</w:instrText>
      </w:r>
      <w:r>
        <w:rPr>
          <w:sz w:val="22"/>
        </w:rPr>
      </w:r>
      <w:r>
        <w:rPr>
          <w:sz w:val="22"/>
        </w:rPr>
        <w:fldChar w:fldCharType="separate"/>
      </w:r>
      <w:r>
        <w:rPr>
          <w:sz w:val="22"/>
        </w:rPr>
      </w:r>
      <w:r>
        <w:rPr>
          <w:sz w:val="22"/>
        </w:rPr>
      </w:r>
      <w:r>
        <w:rPr>
          <w:sz w:val="22"/>
        </w:rPr>
        <w:fldChar w:fldCharType="end"/>
      </w:r>
      <w:r>
        <w:rPr>
          <w:sz w:val="22"/>
        </w:rPr>
        <w:t>D</w:t>
      </w:r>
      <w:r>
        <w:rPr>
          <w:sz w:val="22"/>
          <w:szCs w:val="22"/>
        </w:rPr>
        <w:t>ear Mr. Jackson: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pPr>
      <w:r>
        <w:rPr>
          <w:sz w:val="22"/>
          <w:szCs w:val="22"/>
        </w:rPr>
        <w:t xml:space="preserve">As you are aware, prior to EPMI suspending deliveries of energy to TVA under the MOPA, EPMI offered, pursuant to letters dated January 6, 2000 and January 26, 2000, to sell energy to TVA at market based rates sufficient to cover any energy that TVA otherwise would have scheduled under the MOPA during the pendency of the ongoing litigation between EPMI and TVA (Civil Action No. 1:99-CV-262; </w:t>
      </w:r>
      <w:r>
        <w:rPr>
          <w:i/>
          <w:iCs/>
          <w:sz w:val="22"/>
          <w:szCs w:val="22"/>
        </w:rPr>
        <w:t>Enron Power Marketing, Inc. v. Tennessee Valley Authority</w:t>
      </w:r>
      <w:r>
        <w:rPr>
          <w:sz w:val="22"/>
          <w:szCs w:val="22"/>
        </w:rPr>
        <w:t>; In the United States District Court for the Eastern District of Tennessee at Chattanooga) (the "Litigation"), subject in all cases to EPMI returning any amounts received from TVA in excess of the contract price under the MOPA if it was ultimately determined that no Early Termination of the MOPA had occurred.  TVA rejected each of these proposals.  While EPMI is confident that it has acted in accordance with the MOPA, based upon our recent conversations, EPMI is willing at this time based upon the currently available power prices to re-make the following offers to TVA: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rPr>
          <w:b/>
          <w:bCs/>
          <w:sz w:val="22"/>
          <w:szCs w:val="22"/>
        </w:rPr>
        <w:t>Proposal No. 1 –</w:t>
      </w:r>
      <w:r>
        <w:rPr>
          <w:b/>
          <w:bCs/>
          <w:i/>
          <w:iCs/>
          <w:sz w:val="22"/>
          <w:szCs w:val="22"/>
        </w:rPr>
        <w:t>Proposal to Supply Energy Under the terms of the  MOPA (the "MOPA Product")</w:t>
      </w:r>
      <w:r>
        <w:rPr>
          <w:b/>
          <w:bCs/>
          <w:sz w:val="22"/>
          <w:szCs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pPr>
      <w:r>
        <w:fldChar w:fldCharType="begin"/>
      </w:r>
      <w:r>
        <w:rPr>
          <w:sz w:val="22"/>
          <w:szCs w:val="20"/>
        </w:rPr>
        <w:instrText xml:space="preserve">ADVANCE \d6</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 xml:space="preserve"> Subject to the terms set forth below, EPMI hereby offers to make energy available to TVA under the same terms and conditions set forth in the MOPA, as modified and described below.</w:t>
      </w:r>
      <w:r>
        <w:rPr>
          <w:rStyle w:val="FootnoteCharacters"/>
          <w:rStyle w:val="FootnoteReference"/>
          <w:sz w:val="22"/>
          <w:szCs w:val="22"/>
          <w:vertAlign w:val="superscript"/>
        </w:rPr>
        <w:footnoteReference w:id="2"/>
      </w:r>
      <w:r>
        <w:rPr>
          <w:sz w:val="22"/>
          <w:szCs w:val="22"/>
        </w:rPr>
        <w:t xml:space="preserve"> EPMI's offer is further subject to the following provisions:</w:t>
      </w:r>
    </w:p>
    <w:p>
      <w:pPr>
        <w:pStyle w:val="Normal"/>
        <w:widowContro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rPr>
        <w:instrText xml:space="preserve">ADVANCE \d6</w:instrText>
      </w:r>
      <w:r>
        <w:rPr>
          <w:sz w:val="22"/>
        </w:rPr>
      </w:r>
      <w:r>
        <w:rPr>
          <w:sz w:val="22"/>
        </w:rPr>
        <w:fldChar w:fldCharType="separate"/>
      </w:r>
      <w:r>
        <w:rPr>
          <w:sz w:val="22"/>
        </w:rPr>
      </w:r>
      <w:r>
        <w:rPr>
          <w:sz w:val="22"/>
        </w:rPr>
      </w:r>
      <w:r>
        <w:rPr>
          <w:sz w:val="22"/>
        </w:rPr>
        <w:fldChar w:fldCharType="end"/>
      </w:r>
      <w:r>
        <w:rPr>
          <w:sz w:val="22"/>
          <w:szCs w:val="22"/>
        </w:rPr>
        <w:t>1.</w:t>
        <w:tab/>
        <w:t>TVA would be required to schedule the delvery of energy in accordance with the terms in the MOPA.  The Contract Quantity that EPMI would make available and the scheduling requirements would be as set forth in the MOPA.  The Energy Charge for energy would be as set forth in the MOPA.</w:t>
      </w:r>
    </w:p>
    <w:p>
      <w:pPr>
        <w:pStyle w:val="Normal"/>
        <w:widowContro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2.</w:t>
        <w:tab/>
        <w:t>The Delivery Point(s) would be as set forth in the MOPA.   EPMI would have the right to schedule energy at a Permitted Delivery Point(s) based upon EPMI's interpretation of Section 4.3 of the MOPA, as set forth by EPMI in its pleadings in the litigation.  TVA would not be permitted to set off the Energy Charge, the Demand Premium (as defined below), or any other amounts owing by TVA to EPMI under this proposal against damages claimed by TVA in connection with the claims at issue in the Litigation.</w:t>
      </w:r>
    </w:p>
    <w:p>
      <w:pPr>
        <w:pStyle w:val="Norma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3.</w:t>
        <w:tab/>
        <w:t xml:space="preserve">In lieu of the Option Premiums and Demand Charges set forth in the MOPA, TVA would pay a market-based option price (the "Demand Premium") for the right to call on energy under the  terms of the MOPA. The Demand Premium for each Summer Period and Winter Period is set forth on Attachment A under the heading "Demand Premiums for MOPA Product".  TVA would be required to make each Demand Premium Payment into an escrow account ("Escrow Account") pursuant to an escrow agreement to be negotiated between the parties ("Escrow Agreement") not later than 30 days prior to the commencement of the applicable Summer Period or Winter Period.  The proceeds in the Escrow Agreement would be released within 3 business days of the Litigation Conclusion Date (as defined below).   If the Court in the Litigation determines that a Triggering Event and Early Termination Date terminating EPMI's obligations to schedule and deliver energy under the MOPA has occurred, EPMI would be entitled to all proceeds in the Escrow Account. The proceeds in the Escrow Account would be paid to EPMI in satisfaction of TVA's obligations to pay EPMI for EPMI's performance under this MOPA Product proposal.  If the Court in the Litigation determines that a Triggering Event and Early Termination Date have not occurred, TVA would be entitled to all proceeds in the Escrow Account (pro rated, however, to the extent EPMI continues to supply energy pursuant to Paragraph 4).  </w:t>
      </w:r>
    </w:p>
    <w:p>
      <w:pPr>
        <w:pStyle w:val="Norma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sz w:val="22"/>
          <w:szCs w:val="22"/>
        </w:rPr>
      </w:pPr>
      <w:r>
        <w:rPr>
          <w:sz w:val="22"/>
          <w:szCs w:val="22"/>
        </w:rPr>
        <w:t>4.</w:t>
        <w:tab/>
        <w:t>EPMI's obligations to continue to supply energy and TVA's obligations to pay the Demand Premium payment for future Summer and Winter Periods in accordance with this Proposal No. 1 would terminate upon the conclusion of the Litigation either by settlement or by the rendition of a final judgment not subject to appeal (such date referred to as the "Litigation Conclusion Date"); provided, however, if the Litigation Conclusion Date occurs in the middle of a Winter Period or Summer Period, TVA and EPMI would be obligated to continue performance under this Proposal No. 1 until the expiration of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rPr>
          <w:b/>
          <w:bCs/>
          <w:sz w:val="22"/>
          <w:szCs w:val="22"/>
        </w:rPr>
        <w:t>Proposal No. 2 –</w:t>
      </w:r>
      <w:r>
        <w:rPr>
          <w:b/>
          <w:bCs/>
          <w:i/>
          <w:iCs/>
          <w:sz w:val="22"/>
          <w:szCs w:val="22"/>
        </w:rPr>
        <w:t xml:space="preserve"> Proposal to Supply an "Into TVA" Product (the "Into TVA, Seller's Daily Choice                                           Product")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sz w:val="22"/>
          <w:szCs w:val="22"/>
        </w:rPr>
      </w:pPr>
      <w:r>
        <w:rPr>
          <w:sz w:val="22"/>
          <w:szCs w:val="22"/>
        </w:rPr>
        <w:t xml:space="preserve"> </w:t>
      </w:r>
      <w:r>
        <w:rPr>
          <w:sz w:val="22"/>
          <w:szCs w:val="22"/>
        </w:rPr>
        <w:t>In order to accommodate TVA's stated need for energy, EPMI is willing to make the following alternative offer to TVA.  As you are aware, an "Into TVA" product is materially different than the energy product purchased by TVA under the MOPA.  For example, under an "Into TVA" product, the seller of the energy is obligated to deliver the energy to an interface at which the buyer can secure transmission necessary to transmit the energy into the TVA control area.  A seller's obligation to deliver the energy at an "available" interface is completely opposite of what EPMI believes TVA purchased under the MOPA, where we believe that TVA assumed the risk of the unavailability of transmission as a result of inadequate transfer capability at a Scheduled Delivery Point.  Nevertheless, EPMI is willing to make this offer in order to assist TVA in purchasing the least expensive available energy that TVA has repeatedly stated that it needs to secure to satisfy its ongoing commitments.  Accordingly, subject to the terms set forth below, EPMI hereby offers to sell to TVA a daily call to purchase an "Into TVA" firm energy product under the same general terms and conditions outlined in the MOPA (other than with respect to the Permitted Delivery Point  as further explained below) for each of the Summer Periods and Winter Periods set forth below. EPMI expressly notes that this offer is further subject to the following provisions:</w:t>
      </w:r>
    </w:p>
    <w:p>
      <w:pPr>
        <w:pStyle w:val="Normal"/>
        <w:widowContro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rPr>
        <w:instrText xml:space="preserve">ADVANCE \d6</w:instrText>
      </w:r>
      <w:r>
        <w:rPr>
          <w:sz w:val="22"/>
        </w:rPr>
      </w:r>
      <w:r>
        <w:rPr>
          <w:sz w:val="22"/>
        </w:rPr>
        <w:fldChar w:fldCharType="separate"/>
      </w:r>
      <w:r>
        <w:rPr>
          <w:sz w:val="22"/>
        </w:rPr>
      </w:r>
      <w:r>
        <w:rPr>
          <w:sz w:val="22"/>
        </w:rPr>
      </w:r>
      <w:r>
        <w:rPr>
          <w:sz w:val="22"/>
        </w:rPr>
        <w:fldChar w:fldCharType="end"/>
      </w:r>
      <w:r>
        <w:rPr>
          <w:sz w:val="22"/>
          <w:szCs w:val="22"/>
        </w:rPr>
        <w:t>1.</w:t>
        <w:tab/>
        <w:t>The terms of Proposal No. 2 are identical to Proposal No. 1 except as modified below.</w:t>
      </w:r>
    </w:p>
    <w:p>
      <w:pPr>
        <w:pStyle w:val="Normal"/>
        <w:widowContro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2.</w:t>
        <w:tab/>
        <w:t>Paragraph 2 of Proposal No.1 is deleted and replaced with the following:</w:t>
      </w:r>
    </w:p>
    <w:p>
      <w:pPr>
        <w:pStyle w:val="BlockText"/>
        <w:rPr/>
      </w:pPr>
      <w:r>
        <w:rPr/>
        <w:t xml:space="preserve"> </w:t>
      </w:r>
      <w:r>
        <w:rPr/>
        <w:t>"The Delivery Point would be  an "Into TVA, Seller's Daily Choice" product.  The definition for this product is found in the EEI contract, Schedule P, a copy of which is attached hereto"</w:t>
      </w:r>
    </w:p>
    <w:p>
      <w:pPr>
        <w:pStyle w:val="Norma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3.</w:t>
        <w:tab/>
        <w:t xml:space="preserve">The second sentence of Paragraph 2 in Proposal No. 1 is deleted and replaced with the following: </w:t>
      </w:r>
    </w:p>
    <w:p>
      <w:pPr>
        <w:pStyle w:val="Normal"/>
        <w:tabs>
          <w:tab w:val="clear" w:pos="720"/>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s>
        <w:spacing w:before="120" w:after="0"/>
        <w:ind w:start="1440" w:end="720"/>
        <w:jc w:val="both"/>
        <w:rPr>
          <w:sz w:val="22"/>
          <w:szCs w:val="22"/>
        </w:rPr>
      </w:pPr>
      <w:r>
        <w:rPr>
          <w:sz w:val="22"/>
          <w:szCs w:val="22"/>
        </w:rPr>
        <w:t xml:space="preserve">"The Demand Premium for each Summer Period and Winter Period is set forth on Attachment A under the heading "Demand Premiums for Into TVA, Seller's Daily Choice  Product".  </w:t>
      </w:r>
    </w:p>
    <w:p>
      <w:pPr>
        <w:pStyle w:val="BodyText"/>
        <w:rPr/>
      </w:pPr>
      <w:r>
        <w:rPr/>
        <w:tab/>
        <w:t>If TVA would like to move forward on either of these proposals, please indicate by signing in the space provided below and returning a copy of this letter to me via telefax at (713) 646-3490 no later than 5:00 p.m. CPT on July __, 2000 (the "Offer Expiration Time").  If TVA signs and returns this letter on or before the Offer Expiration Time, EPMI will proceed forward with the necessary documentation.  Thank you for your prompt attention to these matters.</w:t>
      </w:r>
    </w:p>
    <w:p>
      <w:pPr>
        <w:pStyle w:val="Normal"/>
        <w:widowContro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start="4320" w:end="0"/>
        <w:jc w:val="both"/>
        <w:rPr/>
      </w:pPr>
      <w:r>
        <w:fldChar w:fldCharType="begin"/>
      </w:r>
      <w:r>
        <w:rPr>
          <w:sz w:val="22"/>
          <w:szCs w:val="20"/>
        </w:rPr>
        <w:instrText xml:space="preserve">ADVANCE \d12</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Very truly yours,</w:t>
      </w:r>
    </w:p>
    <w:p>
      <w:pPr>
        <w:pStyle w:val="Heading2"/>
        <w:keepNext w:val="true"/>
        <w:keepLines/>
        <w:widowControl/>
        <w:tabs>
          <w:tab w:val="clear" w:pos="720"/>
          <w:tab w:val="clear" w:pos="1440"/>
          <w:tab w:val="clear" w:pos="2160"/>
          <w:tab w:val="clear" w:pos="2880"/>
          <w:tab w:val="clear" w:pos="3600"/>
          <w:tab w:val="left" w:pos="-4320" w:leader="none"/>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rPr/>
      </w:pPr>
      <w:r>
        <w:fldChar w:fldCharType="begin"/>
      </w:r>
      <w:r>
        <w:rPr>
          <w:sz w:val="22"/>
        </w:rPr>
        <w:instrText xml:space="preserve">ADVANCE \d36</w:instrText>
      </w:r>
      <w:r>
        <w:rPr>
          <w:sz w:val="22"/>
        </w:rPr>
      </w:r>
      <w:r>
        <w:rPr>
          <w:sz w:val="22"/>
        </w:rPr>
        <w:fldChar w:fldCharType="separate"/>
      </w:r>
      <w:r>
        <w:rPr>
          <w:sz w:val="22"/>
        </w:rPr>
      </w:r>
      <w:r>
        <w:rPr>
          <w:sz w:val="22"/>
        </w:rPr>
      </w:r>
      <w:r>
        <w:rPr>
          <w:sz w:val="22"/>
        </w:rPr>
        <w:fldChar w:fldCharType="end"/>
      </w:r>
      <w:r>
        <w:rPr>
          <w:sz w:val="22"/>
          <w:szCs w:val="22"/>
        </w:rPr>
        <w:t>Kevin Presto</w:t>
      </w:r>
    </w:p>
    <w:p>
      <w:pPr>
        <w:pStyle w:val="Normal"/>
        <w:keepLines/>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sz w:val="22"/>
          <w:szCs w:val="22"/>
        </w:rPr>
      </w:pPr>
      <w:r>
        <w:rPr>
          <w:sz w:val="22"/>
          <w:szCs w:val="22"/>
        </w:rPr>
        <w:t>Vice President</w:t>
      </w:r>
    </w:p>
    <w:p>
      <w:pPr>
        <w:pStyle w:val="Heading3"/>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hanging="0" w:start="0"/>
        <w:rPr/>
      </w:pPr>
      <w:r>
        <w:fldChar w:fldCharType="begin"/>
      </w:r>
      <w:r>
        <w:rPr>
          <w:b/>
          <w:bCs/>
        </w:rPr>
        <w:instrText xml:space="preserve">ADVANCE \d6</w:instrText>
      </w:r>
      <w:r>
        <w:rPr>
          <w:b/>
          <w:bCs/>
        </w:rPr>
      </w:r>
      <w:r>
        <w:rPr>
          <w:b/>
          <w:bCs/>
        </w:rPr>
        <w:fldChar w:fldCharType="separate"/>
      </w:r>
      <w:r>
        <w:rPr>
          <w:b/>
          <w:bCs/>
        </w:rPr>
      </w:r>
      <w:r>
        <w:rPr>
          <w:b/>
          <w:bCs/>
        </w:rPr>
      </w:r>
      <w:r>
        <w:rPr>
          <w:b/>
          <w:bCs/>
        </w:rPr>
        <w:fldChar w:fldCharType="end"/>
      </w:r>
      <w:r>
        <w:rPr>
          <w:b/>
          <w:bCs/>
        </w:rPr>
        <w:t>Tennessee Valley Authority</w:t>
      </w:r>
    </w:p>
    <w:p>
      <w:pPr>
        <w:pStyle w:val="Normal"/>
        <w:keepNext w:val="true"/>
        <w:rPr/>
      </w:pPr>
      <w:r>
        <w:rPr/>
      </w:r>
    </w:p>
    <w:p>
      <w:pPr>
        <w:pStyle w:val="Normal"/>
        <w:keepNext w:val="true"/>
        <w:rPr>
          <w:sz w:val="22"/>
        </w:rPr>
      </w:pPr>
      <w:r>
        <w:rPr>
          <w:sz w:val="22"/>
        </w:rPr>
        <w:t>TVA hereby agrees to proceed forward</w:t>
      </w:r>
    </w:p>
    <w:p>
      <w:pPr>
        <w:pStyle w:val="Normal"/>
        <w:keepNext w:val="true"/>
        <w:rPr>
          <w:sz w:val="22"/>
        </w:rPr>
      </w:pPr>
      <w:r>
        <w:rPr>
          <w:sz w:val="22"/>
        </w:rPr>
        <w:t>with Proposal No. ___ as set forth above.</w:t>
      </w:r>
    </w:p>
    <w:p>
      <w:pPr>
        <w:pStyle w:val="Footer"/>
        <w:keepNext w:val="true"/>
        <w:widowControl/>
        <w:tabs>
          <w:tab w:val="clear" w:pos="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instrText xml:space="preserve">ADVANCE \d30</w:instrText>
      </w:r>
      <w:r>
        <w:rPr/>
      </w:r>
      <w:r>
        <w:rPr/>
        <w:fldChar w:fldCharType="separate"/>
      </w:r>
      <w:r>
        <w:rPr/>
      </w:r>
      <w:r>
        <w:rPr/>
      </w:r>
      <w:r>
        <w:rPr/>
        <w:fldChar w:fldCharType="end"/>
      </w:r>
      <w:r>
        <w:rPr/>
        <w:t xml:space="preserve">By:  </w:t>
      </w:r>
      <w:r>
        <w:rPr>
          <w:u w:val="single"/>
        </w:rPr>
        <w:tab/>
      </w:r>
    </w:p>
    <w:p>
      <w:pPr>
        <w:pStyle w:val="Normal"/>
        <w:keepNext w:val="true"/>
        <w:widowContro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 xml:space="preserve">Name:  </w:t>
      </w:r>
      <w:r>
        <w:rPr>
          <w:sz w:val="22"/>
          <w:szCs w:val="22"/>
          <w:u w:val="single"/>
        </w:rPr>
        <w:tab/>
      </w:r>
    </w:p>
    <w:p>
      <w:pPr>
        <w:pStyle w:val="Normal"/>
        <w:widowContro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 xml:space="preserve">Title:  </w:t>
      </w:r>
      <w:r>
        <w:rPr>
          <w:sz w:val="22"/>
          <w:szCs w:val="22"/>
          <w:u w:val="single"/>
        </w:rPr>
        <w:tab/>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widowControl/>
        <w:tabs>
          <w:tab w:val="clear" w:pos="720"/>
          <w:tab w:val="left" w:pos="0" w:leader="none"/>
          <w:tab w:val="left" w:pos="41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szCs w:val="22"/>
          <w:u w:val="single"/>
        </w:rPr>
      </w:pPr>
      <w:r>
        <w:rPr>
          <w:sz w:val="22"/>
          <w:szCs w:val="22"/>
          <w:u w:val="single"/>
        </w:rPr>
      </w:r>
    </w:p>
    <w:p>
      <w:pPr>
        <w:pStyle w:val="Heading4"/>
        <w:spacing w:before="120" w:after="240"/>
        <w:ind w:hanging="0" w:start="0"/>
        <w:rPr/>
      </w:pPr>
      <w:r>
        <w:rPr/>
        <w:t>Attachment A</w:t>
      </w:r>
    </w:p>
    <w:tbl>
      <w:tblPr>
        <w:tblW w:w="9214" w:type="dxa"/>
        <w:jc w:val="center"/>
        <w:tblInd w:w="0" w:type="dxa"/>
        <w:tblLayout w:type="fixed"/>
        <w:tblCellMar>
          <w:top w:w="0" w:type="dxa"/>
          <w:start w:w="108" w:type="dxa"/>
          <w:bottom w:w="0" w:type="dxa"/>
          <w:end w:w="108" w:type="dxa"/>
        </w:tblCellMar>
      </w:tblPr>
      <w:tblGrid>
        <w:gridCol w:w="3184"/>
        <w:gridCol w:w="3015"/>
        <w:gridCol w:w="3015"/>
      </w:tblGrid>
      <w:tr>
        <w:trPr/>
        <w:tc>
          <w:tcPr>
            <w:tcW w:w="3184"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b/>
                <w:bCs/>
                <w:sz w:val="22"/>
              </w:rPr>
            </w:pPr>
            <w:r>
              <w:rPr>
                <w:b/>
                <w:bCs/>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s>
              <w:spacing w:before="120" w:after="120"/>
              <w:jc w:val="center"/>
              <w:rPr>
                <w:b/>
                <w:bCs/>
                <w:sz w:val="22"/>
              </w:rPr>
            </w:pPr>
            <w:r>
              <w:rPr>
                <w:b/>
                <w:bCs/>
                <w:sz w:val="22"/>
              </w:rPr>
              <w:t xml:space="preserve">Demand Premium for MOPA Product </w:t>
            </w:r>
          </w:p>
          <w:p>
            <w:pPr>
              <w:pStyle w:val="Normal"/>
              <w:tabs>
                <w:tab w:val="clear" w:pos="720"/>
                <w:tab w:val="left" w:pos="507" w:leader="none"/>
              </w:tabs>
              <w:spacing w:before="120" w:after="120"/>
              <w:jc w:val="center"/>
              <w:rPr>
                <w:b/>
                <w:bCs/>
                <w:sz w:val="22"/>
              </w:rPr>
            </w:pPr>
            <w:r>
              <w:rPr>
                <w:b/>
                <w:bCs/>
                <w:sz w:val="22"/>
              </w:rPr>
              <w:t>(Proposal No. 1)</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120"/>
              <w:jc w:val="center"/>
              <w:rPr>
                <w:b/>
                <w:bCs/>
                <w:sz w:val="22"/>
              </w:rPr>
            </w:pPr>
            <w:r>
              <w:rPr>
                <w:b/>
                <w:bCs/>
                <w:sz w:val="22"/>
              </w:rPr>
              <w:t>Demand Premium for Into TVA, Seller's Choice Product</w:t>
            </w:r>
          </w:p>
          <w:p>
            <w:pPr>
              <w:pStyle w:val="Normal"/>
              <w:tabs>
                <w:tab w:val="clear" w:pos="720"/>
                <w:tab w:val="right" w:pos="1930" w:leader="none"/>
              </w:tabs>
              <w:spacing w:before="120" w:after="120"/>
              <w:jc w:val="center"/>
              <w:rPr>
                <w:b/>
                <w:bCs/>
                <w:sz w:val="22"/>
              </w:rPr>
            </w:pPr>
            <w:r>
              <w:rPr>
                <w:b/>
                <w:bCs/>
                <w:sz w:val="22"/>
              </w:rPr>
              <w:t xml:space="preserve"> </w:t>
            </w:r>
            <w:r>
              <w:rPr>
                <w:b/>
                <w:bCs/>
                <w:sz w:val="22"/>
              </w:rPr>
              <w:t>(Proposal No. 2)</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s>
              <w:spacing w:before="120" w:after="0"/>
              <w:jc w:val="both"/>
              <w:rPr>
                <w:sz w:val="22"/>
              </w:rPr>
            </w:pPr>
            <w:r>
              <w:rPr>
                <w:sz w:val="22"/>
              </w:rPr>
              <w:tab/>
              <w:t>$40,000,000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00" w:leader="none"/>
                <w:tab w:val="right" w:pos="1930" w:leader="none"/>
              </w:tabs>
              <w:spacing w:before="120" w:after="0"/>
              <w:jc w:val="both"/>
              <w:rPr>
                <w:sz w:val="22"/>
              </w:rPr>
            </w:pPr>
            <w:r>
              <w:rPr>
                <w:sz w:val="22"/>
              </w:rPr>
              <w:tab/>
              <w:t>$65,000,000</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2001</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$55,000,000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$80,000,000</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2002</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$25,000,000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$45,000,000</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2003</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$20,000,000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$30,000,000</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2004</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$20,000,000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$30,000,000</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2005</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$15,000,000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$20,000,000</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2006</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$15,000,000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$20,000,000</w:t>
            </w:r>
          </w:p>
        </w:tc>
      </w:tr>
      <w:tr>
        <w:trPr/>
        <w:tc>
          <w:tcPr>
            <w:tcW w:w="3184" w:type="dxa"/>
            <w:tcBorders>
              <w:top w:val="single" w:sz="4" w:space="0" w:color="000000"/>
              <w:start w:val="single" w:sz="4" w:space="0" w:color="000000"/>
              <w:bottom w:val="single" w:sz="4" w:space="0" w:color="000000"/>
            </w:tcBorders>
          </w:tcPr>
          <w:p>
            <w:pPr>
              <w:pStyle w:val="Normal"/>
              <w:snapToGrid w:val="false"/>
              <w:spacing w:before="120" w:after="0"/>
              <w:jc w:val="both"/>
              <w:rPr>
                <w:sz w:val="22"/>
              </w:rPr>
            </w:pPr>
            <w:r>
              <w:rPr>
                <w:sz w:val="22"/>
              </w:rPr>
            </w:r>
          </w:p>
        </w:tc>
        <w:tc>
          <w:tcPr>
            <w:tcW w:w="3015" w:type="dxa"/>
            <w:tcBorders>
              <w:top w:val="single" w:sz="4" w:space="0" w:color="000000"/>
              <w:bottom w:val="single" w:sz="4" w:space="0" w:color="000000"/>
            </w:tcBorders>
          </w:tcPr>
          <w:p>
            <w:pPr>
              <w:pStyle w:val="Normal"/>
              <w:tabs>
                <w:tab w:val="clear" w:pos="720"/>
                <w:tab w:val="left" w:pos="775" w:leader="none"/>
                <w:tab w:val="left" w:pos="1692" w:leader="none"/>
              </w:tabs>
              <w:snapToGrid w:val="false"/>
              <w:spacing w:before="120" w:after="0"/>
              <w:jc w:val="both"/>
              <w:rPr>
                <w:sz w:val="22"/>
              </w:rPr>
            </w:pPr>
            <w:r>
              <w:rPr>
                <w:sz w:val="22"/>
              </w:rPr>
            </w:r>
          </w:p>
        </w:tc>
        <w:tc>
          <w:tcPr>
            <w:tcW w:w="3015" w:type="dxa"/>
            <w:tcBorders>
              <w:top w:val="single" w:sz="4" w:space="0" w:color="000000"/>
              <w:bottom w:val="single" w:sz="4" w:space="0" w:color="000000"/>
              <w:end w:val="single" w:sz="4" w:space="0" w:color="000000"/>
            </w:tcBorders>
          </w:tcPr>
          <w:p>
            <w:pPr>
              <w:pStyle w:val="Normal"/>
              <w:tabs>
                <w:tab w:val="clear" w:pos="720"/>
                <w:tab w:val="right" w:pos="1930" w:leader="none"/>
              </w:tabs>
              <w:snapToGrid w:val="false"/>
              <w:spacing w:before="120" w:after="0"/>
              <w:jc w:val="both"/>
              <w:rPr>
                <w:sz w:val="22"/>
              </w:rPr>
            </w:pPr>
            <w:r>
              <w:rPr>
                <w:sz w:val="22"/>
              </w:rPr>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2000/2001</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$1,000,000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$ 2,211,858</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2001/2002</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$500,000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$ 1,000,782</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2002/2003</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924,525</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2003/2004</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547,168</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2004/2005</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451,440</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2005/2006</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75" w:leader="none"/>
                <w:tab w:val="left" w:pos="1692" w:leader="none"/>
              </w:tabs>
              <w:spacing w:before="120" w:after="0"/>
              <w:jc w:val="both"/>
              <w:rPr>
                <w:sz w:val="22"/>
              </w:rPr>
            </w:pPr>
            <w:r>
              <w:rPr>
                <w:sz w:val="22"/>
              </w:rPr>
              <w:tab/>
              <w:t>$0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122,761</w:t>
            </w:r>
          </w:p>
        </w:tc>
      </w:tr>
      <w:tr>
        <w:trPr/>
        <w:tc>
          <w:tcPr>
            <w:tcW w:w="3184" w:type="dxa"/>
            <w:tcBorders>
              <w:top w:val="single" w:sz="4" w:space="0" w:color="000000"/>
              <w:start w:val="single" w:sz="4" w:space="0" w:color="000000"/>
              <w:end w:val="single" w:sz="4" w:space="0" w:color="000000"/>
            </w:tcBorders>
          </w:tcPr>
          <w:p>
            <w:pPr>
              <w:pStyle w:val="Normal"/>
              <w:snapToGrid w:val="false"/>
              <w:spacing w:before="120" w:after="0"/>
              <w:jc w:val="both"/>
              <w:rPr>
                <w:sz w:val="22"/>
              </w:rPr>
            </w:pPr>
            <w:r>
              <w:rPr>
                <w:sz w:val="22"/>
              </w:rPr>
            </w:r>
          </w:p>
        </w:tc>
        <w:tc>
          <w:tcPr>
            <w:tcW w:w="3015" w:type="dxa"/>
            <w:tcBorders>
              <w:top w:val="single" w:sz="4" w:space="0" w:color="000000"/>
              <w:start w:val="single" w:sz="4" w:space="0" w:color="000000"/>
              <w:end w:val="single" w:sz="4" w:space="0" w:color="000000"/>
            </w:tcBorders>
          </w:tcPr>
          <w:p>
            <w:pPr>
              <w:pStyle w:val="Normal"/>
              <w:tabs>
                <w:tab w:val="clear" w:pos="720"/>
                <w:tab w:val="left" w:pos="775"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end w:val="single" w:sz="4" w:space="0" w:color="000000"/>
            </w:tcBorders>
          </w:tcPr>
          <w:p>
            <w:pPr>
              <w:pStyle w:val="Normal"/>
              <w:tabs>
                <w:tab w:val="clear" w:pos="720"/>
                <w:tab w:val="right" w:pos="1930" w:leader="none"/>
              </w:tabs>
              <w:snapToGrid w:val="false"/>
              <w:spacing w:before="120" w:after="0"/>
              <w:jc w:val="both"/>
              <w:rPr>
                <w:sz w:val="22"/>
              </w:rPr>
            </w:pPr>
            <w:r>
              <w:rPr>
                <w:sz w:val="22"/>
              </w:rPr>
            </w:r>
          </w:p>
        </w:tc>
      </w:tr>
      <w:tr>
        <w:trPr/>
        <w:tc>
          <w:tcPr>
            <w:tcW w:w="3184" w:type="dxa"/>
            <w:tcBorders>
              <w:start w:val="single" w:sz="4" w:space="0" w:color="000000"/>
              <w:bottom w:val="single" w:sz="4" w:space="0" w:color="000000"/>
              <w:end w:val="single" w:sz="4" w:space="0" w:color="000000"/>
            </w:tcBorders>
          </w:tcPr>
          <w:p>
            <w:pPr>
              <w:pStyle w:val="Normal"/>
              <w:spacing w:before="120" w:after="0"/>
              <w:jc w:val="both"/>
              <w:rPr>
                <w:b/>
                <w:bCs/>
                <w:smallCaps/>
                <w:sz w:val="22"/>
              </w:rPr>
            </w:pPr>
            <w:r>
              <w:rPr>
                <w:b/>
                <w:bCs/>
                <w:smallCaps/>
                <w:sz w:val="22"/>
              </w:rPr>
              <w:t>Total</w:t>
            </w:r>
          </w:p>
        </w:tc>
        <w:tc>
          <w:tcPr>
            <w:tcW w:w="3015" w:type="dxa"/>
            <w:tcBorders>
              <w:start w:val="single" w:sz="4" w:space="0" w:color="000000"/>
              <w:bottom w:val="single" w:sz="4" w:space="0" w:color="000000"/>
              <w:end w:val="single" w:sz="4" w:space="0" w:color="000000"/>
            </w:tcBorders>
          </w:tcPr>
          <w:p>
            <w:pPr>
              <w:pStyle w:val="Normal"/>
              <w:tabs>
                <w:tab w:val="clear" w:pos="720"/>
                <w:tab w:val="left" w:pos="507" w:leader="none"/>
                <w:tab w:val="left" w:pos="775" w:leader="none"/>
                <w:tab w:val="left" w:pos="1692" w:leader="none"/>
              </w:tabs>
              <w:spacing w:before="120" w:after="0"/>
              <w:jc w:val="both"/>
              <w:rPr>
                <w:b/>
                <w:bCs/>
                <w:smallCaps/>
                <w:sz w:val="22"/>
              </w:rPr>
            </w:pPr>
            <w:r>
              <w:rPr>
                <w:b/>
                <w:bCs/>
                <w:smallCaps/>
                <w:sz w:val="22"/>
              </w:rPr>
              <w:tab/>
              <w:t>$191,500,000</w:t>
            </w:r>
          </w:p>
        </w:tc>
        <w:tc>
          <w:tcPr>
            <w:tcW w:w="3015" w:type="dxa"/>
            <w:tcBorders>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b/>
                <w:bCs/>
                <w:smallCaps/>
                <w:sz w:val="22"/>
              </w:rPr>
            </w:pPr>
            <w:r>
              <w:rPr>
                <w:b/>
                <w:bCs/>
                <w:smallCaps/>
                <w:sz w:val="22"/>
              </w:rPr>
              <w:tab/>
              <w:t>$290,000,000</w:t>
            </w:r>
          </w:p>
        </w:tc>
      </w:tr>
    </w:tbl>
    <w:p>
      <w:pPr>
        <w:pStyle w:val="Normal"/>
        <w:tabs>
          <w:tab w:val="clear" w:pos="720"/>
          <w:tab w:val="left" w:pos="0" w:leader="none"/>
          <w:tab w:val="left" w:pos="41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rPr>
      </w:pPr>
      <w:r>
        <w:rPr>
          <w:sz w:val="22"/>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Baskerville Old Face" w:hAnsi="Baskerville Old Face" w:cs="Baskerville Old Face"/>
        <w:sz w:val="12"/>
        <w:szCs w:val="12"/>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/mnt/main-storage/datasets/enron-docs/doc/tva13a-86188d416240c8e8cbbf235e00ed33966a820f9a4af334b5187de7b84677d750.doc</w:t>
    </w:r>
    <w:r>
      <w:rPr>
        <w:sz w:val="12"/>
        <w:szCs w:val="12"/>
        <w:rFonts w:cs="Baskerville Old Face" w:ascii="Baskerville Old Face" w:hAnsi="Baskerville Old Face"/>
      </w:rPr>
      <w:fldChar w:fldCharType="end"/>
    </w:r>
  </w:p>
  <w:p>
    <w:pPr>
      <w:pStyle w:val="Footer"/>
      <w:widowControl/>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Baskerville Old Face" w:hAnsi="Baskerville Old Face" w:cs="Baskerville Old Face"/>
        <w:sz w:val="12"/>
        <w:szCs w:val="12"/>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/mnt/main-storage/datasets/enron-docs/doc/tva13a-86188d416240c8e8cbbf235e00ed33966a820f9a4af334b5187de7b84677d750.doc</w:t>
    </w:r>
    <w:r>
      <w:rPr>
        <w:sz w:val="12"/>
        <w:szCs w:val="12"/>
        <w:rFonts w:cs="Baskerville Old Face" w:ascii="Baskerville Old Face" w:hAnsi="Baskerville Old Face"/>
      </w:rPr>
      <w:fldChar w:fldCharType="end"/>
    </w:r>
  </w:p>
  <w:p>
    <w:pPr>
      <w:pStyle w:val="Footer"/>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/mnt/main-storage/datasets/enron-docs/doc/tva13a-86188d416240c8e8cbbf235e00ed33966a820f9a4af334b5187de7b84677d750.doc</w:t>
    </w:r>
    <w:r>
      <w:rPr>
        <w:sz w:val="12"/>
        <w:szCs w:val="12"/>
        <w:rFonts w:cs="Baskerville Old Face" w:ascii="Baskerville Old Face" w:hAnsi="Baskerville Old Face"/>
      </w:rPr>
      <w:fldChar w:fldCharType="end"/>
    </w:r>
  </w:p>
  <w:p>
    <w:pPr>
      <w:pStyle w:val="Footer"/>
      <w:widowControl/>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/mnt/main-storage/datasets/enron-docs/doc/tva13a-86188d416240c8e8cbbf235e00ed33966a820f9a4af334b5187de7b84677d750.doc</w:t>
    </w:r>
    <w:r>
      <w:rPr>
        <w:sz w:val="12"/>
        <w:szCs w:val="12"/>
        <w:rFonts w:cs="Baskerville Old Face" w:ascii="Baskerville Old Face" w:hAnsi="Baskerville Old Face"/>
      </w:rPr>
      <w:fldChar w:fldCharType="end"/>
    </w:r>
  </w:p>
  <w:p>
    <w:pPr>
      <w:pStyle w:val="Footer"/>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ootnoteCharacters"/>
        </w:rPr>
        <w:footnoteRef/>
      </w:r>
      <w:r>
        <w:rPr>
          <w:szCs w:val="20"/>
        </w:rPr>
        <w:t xml:space="preserve"> </w:t>
      </w:r>
      <w:r>
        <w:rPr>
          <w:sz w:val="16"/>
          <w:szCs w:val="20"/>
        </w:rPr>
        <w:t>TVA's failure to exercise OPAs will not affect EPMI's willingness to schedule and deliver energy under the proposals set forth in this letter.  However, EPMI notes that contrary to the terms of the MOPA, TVA has failed to exercise the OPAs for any period after the summer period ending September 15, 2000. Accordingly, under the terms of the MOPA, TVA has no right to request the scheduling of energy for either the Winter Period commencing December 2000 (OPAs WP00-20-1 through 32) or the Summer Period commencing June 2001 (OPAs SP01-20-1 through 48).  EPMI expressly preserves any and all rights it has to challenge TVA's alleged damage calculations, including without limitation, the fact that TVA would not be entitled to recover any alleged damages as a result of its failure to exercise the OPAs for these deemed other time periods in which TVA fails to exercise OPAs.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Tennessee Valley Authority</w:t>
    </w:r>
  </w:p>
  <w:p>
    <w:pPr>
      <w:pStyle w:val="Header"/>
      <w:rPr>
        <w:sz w:val="22"/>
        <w:szCs w:val="22"/>
      </w:rPr>
    </w:pPr>
    <w:r>
      <w:rPr>
        <w:sz w:val="22"/>
        <w:szCs w:val="22"/>
      </w:rPr>
      <w:fldChar w:fldCharType="begin"/>
    </w:r>
    <w:r>
      <w:rPr>
        <w:sz w:val="22"/>
        <w:szCs w:val="22"/>
      </w:rPr>
      <w:instrText xml:space="preserve"> DATE \@"MMMM\ d', 'yyyy" </w:instrText>
    </w:r>
    <w:r>
      <w:rPr>
        <w:sz w:val="22"/>
        <w:szCs w:val="22"/>
      </w:rPr>
      <w:fldChar w:fldCharType="separate"/>
    </w:r>
    <w:r>
      <w:rPr>
        <w:sz w:val="22"/>
        <w:szCs w:val="22"/>
      </w:rPr>
      <w:t>September 28, 2025</w:t>
    </w:r>
    <w:r>
      <w:rPr>
        <w:sz w:val="22"/>
        <w:szCs w:val="22"/>
      </w:rPr>
      <w:fldChar w:fldCharType="end"/>
    </w:r>
  </w:p>
  <w:p>
    <w:pPr>
      <w:pStyle w:val="Header"/>
      <w:rPr>
        <w:rStyle w:val="PageNumber"/>
        <w:sz w:val="22"/>
        <w:szCs w:val="22"/>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3</w:t>
    </w:r>
    <w:r>
      <w:rPr>
        <w:sz w:val="22"/>
        <w:szCs w:val="22"/>
      </w:rPr>
      <w:fldChar w:fldCharType="end"/>
    </w:r>
  </w:p>
  <w:p>
    <w:pPr>
      <w:pStyle w:val="Header"/>
      <w:rPr>
        <w:rStyle w:val="PageNumber"/>
        <w:sz w:val="22"/>
        <w:szCs w:val="22"/>
      </w:rPr>
    </w:pPr>
    <w:r>
      <w:rPr/>
    </w:r>
  </w:p>
  <w:p>
    <w:pPr>
      <w:pStyle w:val="Normal"/>
      <w:spacing w:lineRule="exact" w:line="240"/>
      <w:rPr>
        <w:rStyle w:val="PageNumber"/>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Tennessee Valley Authority</w:t>
    </w:r>
  </w:p>
  <w:p>
    <w:pPr>
      <w:pStyle w:val="Header"/>
      <w:rPr>
        <w:sz w:val="22"/>
        <w:szCs w:val="22"/>
      </w:rPr>
    </w:pPr>
    <w:r>
      <w:rPr>
        <w:sz w:val="22"/>
        <w:szCs w:val="22"/>
      </w:rPr>
      <w:fldChar w:fldCharType="begin"/>
    </w:r>
    <w:r>
      <w:rPr>
        <w:sz w:val="22"/>
        <w:szCs w:val="22"/>
      </w:rPr>
      <w:instrText xml:space="preserve"> DATE \@"MMMM\ d', 'yyyy" </w:instrText>
    </w:r>
    <w:r>
      <w:rPr>
        <w:sz w:val="22"/>
        <w:szCs w:val="22"/>
      </w:rPr>
      <w:fldChar w:fldCharType="separate"/>
    </w:r>
    <w:r>
      <w:rPr>
        <w:sz w:val="22"/>
        <w:szCs w:val="22"/>
      </w:rPr>
      <w:t>September 28, 2025</w:t>
    </w:r>
    <w:r>
      <w:rPr>
        <w:sz w:val="22"/>
        <w:szCs w:val="22"/>
      </w:rPr>
      <w:fldChar w:fldCharType="end"/>
    </w:r>
  </w:p>
  <w:p>
    <w:pPr>
      <w:pStyle w:val="Header"/>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0</w:t>
    </w:r>
    <w:r>
      <w:rPr>
        <w:sz w:val="22"/>
        <w:szCs w:val="22"/>
      </w:rPr>
      <w:fldChar w:fldCharType="end"/>
    </w:r>
  </w:p>
  <w:p>
    <w:pPr>
      <w:pStyle w:val="Header"/>
      <w:rPr>
        <w:rStyle w:val="PageNumber"/>
        <w:sz w:val="22"/>
        <w:szCs w:val="22"/>
      </w:rPr>
    </w:pPr>
    <w:r>
      <w:rPr/>
    </w:r>
  </w:p>
  <w:p>
    <w:pPr>
      <w:pStyle w:val="Normal"/>
      <w:spacing w:lineRule="exact" w:line="240"/>
      <w:rPr>
        <w:rStyle w:val="PageNumber"/>
        <w:szCs w:val="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sz w:val="24"/>
      <w:u w:val="single"/>
    </w:rPr>
  </w:style>
  <w:style w:type="paragraph" w:styleId="Heading2">
    <w:name w:val="heading 2"/>
    <w:basedOn w:val="Normal"/>
    <w:next w:val="Normal"/>
    <w:qFormat/>
    <w:pPr>
      <w:numPr>
        <w:ilvl w:val="1"/>
        <w:numId w:val="1"/>
      </w:numPr>
      <w:tabs>
        <w:tab w:val="left" w:pos="-43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0" w:start="4320" w:end="0"/>
      <w:outlineLvl w:val="1"/>
    </w:pPr>
    <w:rPr/>
  </w:style>
  <w:style w:type="paragraph" w:styleId="Heading3">
    <w:name w:val="heading 3"/>
    <w:basedOn w:val="Normal"/>
    <w:next w:val="Normal"/>
    <w:qFormat/>
    <w:pPr>
      <w:numPr>
        <w:ilvl w:val="2"/>
        <w:numId w:val="1"/>
      </w:numPr>
      <w:outlineLvl w:val="2"/>
    </w:pPr>
    <w:rPr>
      <w:smallCaps/>
      <w:sz w:val="22"/>
      <w:szCs w:val="22"/>
    </w:rPr>
  </w:style>
  <w:style w:type="paragraph" w:styleId="Heading4">
    <w:name w:val="heading 4"/>
    <w:basedOn w:val="Normal"/>
    <w:next w:val="Normal"/>
    <w:qFormat/>
    <w:pPr>
      <w:keepNext w:val="true"/>
      <w:numPr>
        <w:ilvl w:val="3"/>
        <w:numId w:val="1"/>
      </w:numPr>
      <w:tabs>
        <w:tab w:val="clear" w:pos="720"/>
        <w:tab w:val="left" w:pos="0" w:leader="none"/>
        <w:tab w:val="left" w:pos="41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center"/>
      <w:outlineLvl w:val="3"/>
    </w:pPr>
    <w:rPr>
      <w:b/>
      <w:bCs/>
      <w:smallCaps/>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vertAlign w:val="superscript"/>
    </w:rPr>
  </w:style>
  <w:style w:type="character" w:styleId="PageNumber">
    <w:name w:val="page number"/>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2"/>
      <w:szCs w:val="22"/>
    </w:rPr>
  </w:style>
  <w:style w:type="paragraph" w:styleId="BodyTextIndent">
    <w:name w:val="Body Text Indent"/>
    <w:basedOn w:val="Normal"/>
    <w:pPr>
      <w:tabs>
        <w:tab w:val="clear" w:pos="720"/>
        <w:tab w:val="left" w:pos="-1260" w:leader="none"/>
        <w:tab w:val="left" w:pos="0" w:leader="none"/>
        <w:tab w:val="left" w:pos="180" w:leader="none"/>
        <w:tab w:val="left" w:pos="900" w:leader="none"/>
        <w:tab w:val="left" w:pos="1620" w:leader="none"/>
        <w:tab w:val="left" w:pos="2340" w:leader="none"/>
        <w:tab w:val="left" w:pos="3060" w:leader="none"/>
        <w:tab w:val="left" w:pos="3780" w:leader="none"/>
        <w:tab w:val="left" w:pos="4500" w:leader="none"/>
        <w:tab w:val="left" w:pos="5220" w:leader="none"/>
        <w:tab w:val="left" w:pos="5940" w:leader="none"/>
        <w:tab w:val="left" w:pos="6660" w:leader="none"/>
        <w:tab w:val="left" w:pos="7380" w:leader="none"/>
        <w:tab w:val="left" w:pos="8100" w:leader="none"/>
      </w:tabs>
      <w:ind w:hanging="540" w:start="1260" w:end="0"/>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Cs w:val="20"/>
    </w:rPr>
  </w:style>
  <w:style w:type="paragraph" w:styleId="BlockText">
    <w:name w:val="Block Text"/>
    <w:basedOn w:val="Normal"/>
    <w:qFormat/>
    <w:pPr>
      <w:widowControl/>
      <w:tabs>
        <w:tab w:val="clear" w:pos="720"/>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s>
      <w:spacing w:before="120" w:after="0"/>
      <w:ind w:hanging="0" w:start="1440" w:end="720"/>
      <w:jc w:val="both"/>
    </w:pPr>
    <w:rPr>
      <w:sz w:val="22"/>
      <w:szCs w:val="22"/>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0"/>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2000-07-06T12:38:00Z</dcterms:created>
  <dc:creator>bwhiteh</dc:creator>
  <dc:description/>
  <dc:language>en-CA</dc:language>
  <cp:lastModifiedBy>esager</cp:lastModifiedBy>
  <cp:lastPrinted>2000-07-13T13:05:00Z</cp:lastPrinted>
  <dcterms:modified xsi:type="dcterms:W3CDTF">2000-07-13T15:35:00Z</dcterms:modified>
  <cp:revision>14</cp:revision>
  <dc:subject/>
  <dc:title>July 6, 2000</dc:title>
</cp:coreProperties>
</file>