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center" w:pos="4680" w:leader="none"/>
        </w:tabs>
        <w:jc w:val="both"/>
        <w:rPr>
          <w:sz w:val="24"/>
        </w:rPr>
      </w:pPr>
      <w:r>
        <w:rPr>
          <w:sz w:val="24"/>
        </w:rPr>
        <w:tab/>
        <w:t>June ___, 2000</w:t>
      </w:r>
    </w:p>
    <w:p>
      <w:pPr>
        <w:pStyle w:val="Normal"/>
        <w:jc w:val="both"/>
        <w:rPr>
          <w:sz w:val="24"/>
        </w:rPr>
      </w:pPr>
      <w:r>
        <w:rPr>
          <w:sz w:val="24"/>
        </w:rPr>
      </w:r>
    </w:p>
    <w:p>
      <w:pPr>
        <w:pStyle w:val="Normal"/>
        <w:jc w:val="both"/>
        <w:rPr>
          <w:sz w:val="24"/>
        </w:rPr>
      </w:pPr>
      <w:r>
        <w:rPr>
          <w:sz w:val="24"/>
        </w:rPr>
      </w:r>
    </w:p>
    <w:p>
      <w:pPr>
        <w:pStyle w:val="Normal"/>
        <w:widowControl/>
        <w:jc w:val="both"/>
        <w:rPr>
          <w:b/>
          <w:bCs/>
          <w:sz w:val="22"/>
          <w:szCs w:val="22"/>
          <w:u w:val="single"/>
        </w:rPr>
      </w:pPr>
      <w:r>
        <w:rPr>
          <w:b/>
          <w:bCs/>
          <w:sz w:val="22"/>
          <w:szCs w:val="22"/>
          <w:u w:val="single"/>
        </w:rPr>
        <w:t>VIA TELECOPY</w:t>
      </w:r>
    </w:p>
    <w:p>
      <w:pPr>
        <w:pStyle w:val="Normal"/>
        <w:widowControl/>
        <w:jc w:val="both"/>
        <w:rPr>
          <w:b/>
          <w:bCs/>
          <w:sz w:val="22"/>
          <w:szCs w:val="22"/>
          <w:u w:val="single"/>
        </w:rPr>
      </w:pPr>
      <w:r>
        <w:rPr>
          <w:b/>
          <w:bCs/>
          <w:sz w:val="22"/>
          <w:szCs w:val="22"/>
          <w:u w:val="single"/>
        </w:rPr>
      </w:r>
    </w:p>
    <w:p>
      <w:pPr>
        <w:pStyle w:val="Heading2"/>
        <w:widowControl/>
        <w:ind w:hanging="0" w:start="0"/>
        <w:jc w:val="both"/>
        <w:rPr>
          <w:sz w:val="22"/>
          <w:szCs w:val="22"/>
        </w:rPr>
      </w:pPr>
      <w:r>
        <w:rPr>
          <w:sz w:val="22"/>
          <w:szCs w:val="22"/>
        </w:rPr>
        <w:t>Tennessee Valley Authority</w:t>
      </w:r>
    </w:p>
    <w:p>
      <w:pPr>
        <w:pStyle w:val="Normal"/>
        <w:widowControl/>
        <w:jc w:val="both"/>
        <w:rPr>
          <w:sz w:val="22"/>
          <w:szCs w:val="22"/>
        </w:rPr>
      </w:pPr>
      <w:r>
        <w:rPr>
          <w:sz w:val="22"/>
          <w:szCs w:val="22"/>
        </w:rPr>
        <w:t>1101 Market Street</w:t>
      </w:r>
    </w:p>
    <w:p>
      <w:pPr>
        <w:pStyle w:val="Normal"/>
        <w:widowControl/>
        <w:jc w:val="both"/>
        <w:rPr>
          <w:sz w:val="22"/>
          <w:szCs w:val="22"/>
        </w:rPr>
      </w:pPr>
      <w:r>
        <w:rPr>
          <w:sz w:val="22"/>
          <w:szCs w:val="22"/>
        </w:rPr>
        <w:t>Chattanooga, Tennessee 37402-2601</w:t>
      </w:r>
    </w:p>
    <w:p>
      <w:pPr>
        <w:pStyle w:val="Normal"/>
        <w:widowControl/>
        <w:jc w:val="both"/>
        <w:rPr>
          <w:sz w:val="22"/>
          <w:szCs w:val="22"/>
        </w:rPr>
      </w:pPr>
      <w:r>
        <w:rPr>
          <w:sz w:val="22"/>
          <w:szCs w:val="22"/>
        </w:rPr>
        <w:t>Attention: Electric Systems Operations</w:t>
      </w:r>
    </w:p>
    <w:p>
      <w:pPr>
        <w:pStyle w:val="Normal"/>
        <w:widowControl/>
        <w:jc w:val="both"/>
        <w:rPr>
          <w:sz w:val="22"/>
          <w:szCs w:val="22"/>
        </w:rPr>
      </w:pPr>
      <w:r>
        <w:rPr>
          <w:sz w:val="22"/>
          <w:szCs w:val="22"/>
        </w:rPr>
        <w:t>Facsimile:</w:t>
        <w:tab/>
        <w:t>(423) 751-6595</w:t>
      </w:r>
    </w:p>
    <w:p>
      <w:pPr>
        <w:pStyle w:val="Normal"/>
        <w:widowControl/>
        <w:jc w:val="both"/>
        <w:rPr>
          <w:sz w:val="22"/>
          <w:szCs w:val="22"/>
        </w:rPr>
      </w:pPr>
      <w:r>
        <w:rPr>
          <w:sz w:val="22"/>
          <w:szCs w:val="22"/>
        </w:rPr>
      </w:r>
    </w:p>
    <w:p>
      <w:pPr>
        <w:pStyle w:val="Normal"/>
        <w:widowControl/>
        <w:jc w:val="both"/>
        <w:rPr>
          <w:sz w:val="22"/>
          <w:szCs w:val="22"/>
        </w:rPr>
      </w:pPr>
      <w:r>
        <w:rPr>
          <w:sz w:val="22"/>
          <w:szCs w:val="22"/>
        </w:rPr>
        <w:t>Tennessee Valley Authority</w:t>
      </w:r>
    </w:p>
    <w:p>
      <w:pPr>
        <w:pStyle w:val="Normal"/>
        <w:widowControl/>
        <w:jc w:val="both"/>
        <w:rPr>
          <w:sz w:val="22"/>
          <w:szCs w:val="22"/>
        </w:rPr>
      </w:pPr>
      <w:r>
        <w:rPr>
          <w:sz w:val="22"/>
          <w:szCs w:val="22"/>
        </w:rPr>
        <w:t>1101 Market Street, MR BK</w:t>
      </w:r>
    </w:p>
    <w:p>
      <w:pPr>
        <w:pStyle w:val="Normal"/>
        <w:widowControl/>
        <w:jc w:val="both"/>
        <w:rPr>
          <w:sz w:val="22"/>
          <w:szCs w:val="22"/>
        </w:rPr>
      </w:pPr>
      <w:r>
        <w:rPr>
          <w:sz w:val="22"/>
          <w:szCs w:val="22"/>
        </w:rPr>
        <w:t>Chattanooga, Tennessee 37402-2801</w:t>
      </w:r>
    </w:p>
    <w:p>
      <w:pPr>
        <w:pStyle w:val="Normal"/>
        <w:widowControl/>
        <w:jc w:val="both"/>
        <w:rPr>
          <w:sz w:val="22"/>
          <w:szCs w:val="22"/>
        </w:rPr>
      </w:pPr>
      <w:r>
        <w:rPr>
          <w:sz w:val="22"/>
          <w:szCs w:val="22"/>
        </w:rPr>
        <w:t>Attention: Mr. Gary Jackson</w:t>
      </w:r>
    </w:p>
    <w:p>
      <w:pPr>
        <w:pStyle w:val="Normal"/>
        <w:widowControl/>
        <w:jc w:val="both"/>
        <w:rPr>
          <w:sz w:val="22"/>
          <w:szCs w:val="22"/>
        </w:rPr>
      </w:pPr>
      <w:r>
        <w:rPr>
          <w:sz w:val="22"/>
          <w:szCs w:val="22"/>
        </w:rPr>
        <w:t>Facsimile:</w:t>
        <w:tab/>
        <w:t>(423) 751-3387</w:t>
      </w:r>
    </w:p>
    <w:p>
      <w:pPr>
        <w:pStyle w:val="Normal"/>
        <w:ind w:start="720" w:end="0"/>
        <w:jc w:val="both"/>
        <w:rPr>
          <w:sz w:val="24"/>
          <w:szCs w:val="22"/>
        </w:rPr>
      </w:pPr>
      <w:r>
        <w:rPr>
          <w:sz w:val="24"/>
          <w:szCs w:val="22"/>
        </w:rPr>
      </w:r>
    </w:p>
    <w:p>
      <w:pPr>
        <w:pStyle w:val="BodyTextIndent"/>
        <w:rPr/>
      </w:pPr>
      <w:r>
        <w:rPr/>
        <w:t>Re:</w:t>
        <w:tab/>
        <w:t>December 6, 1995 Master Option Purchase Agreement by and between Enron Power Marketing, Inc. and Tennessee Valley Authority</w:t>
      </w:r>
    </w:p>
    <w:p>
      <w:pPr>
        <w:pStyle w:val="Normal"/>
        <w:jc w:val="both"/>
        <w:rPr>
          <w:sz w:val="24"/>
        </w:rPr>
      </w:pPr>
      <w:r>
        <w:rPr>
          <w:sz w:val="24"/>
        </w:rPr>
      </w:r>
    </w:p>
    <w:p>
      <w:pPr>
        <w:pStyle w:val="Normal"/>
        <w:jc w:val="both"/>
        <w:rPr>
          <w:sz w:val="24"/>
        </w:rPr>
      </w:pPr>
      <w:r>
        <w:rPr>
          <w:sz w:val="24"/>
        </w:rPr>
        <w:t>Gentlemen:</w:t>
      </w:r>
    </w:p>
    <w:p>
      <w:pPr>
        <w:pStyle w:val="Normal"/>
        <w:jc w:val="both"/>
        <w:rPr>
          <w:sz w:val="24"/>
        </w:rPr>
      </w:pPr>
      <w:r>
        <w:rPr>
          <w:sz w:val="24"/>
        </w:rPr>
      </w:r>
    </w:p>
    <w:p>
      <w:pPr>
        <w:pStyle w:val="Normal"/>
        <w:ind w:firstLine="720" w:end="0"/>
        <w:jc w:val="both"/>
        <w:rPr/>
      </w:pPr>
      <w:r>
        <w:rPr>
          <w:sz w:val="24"/>
        </w:rPr>
        <w:t>As you know, the summer period under the MOPA for the year 2000 began on June 15, 2000.  As you also know, TVA continues to assert that EPMI has an ongoing obligation to honor OPAs, and to sell and deliver energy under the MOPA, despite the fact that EPMI has given TVA notice of an initial and alternative Early Termination Date.  Although EPMI flatly disagrees with TVA</w:t>
      </w:r>
      <w:r>
        <w:rPr>
          <w:rFonts w:cs="WP TypographicSymbols;Courier New" w:ascii="WP TypographicSymbols;Courier New" w:hAnsi="WP TypographicSymbols;Courier New"/>
          <w:sz w:val="24"/>
        </w:rPr>
        <w:t>'</w:t>
      </w:r>
      <w:r>
        <w:rPr>
          <w:sz w:val="24"/>
        </w:rPr>
        <w:t>s assertion in this regard, EPMI nonetheless notified TVA, on June 7, 2000, that in light of TVA</w:t>
      </w:r>
      <w:r>
        <w:rPr>
          <w:rFonts w:cs="WP TypographicSymbols;Courier New" w:ascii="WP TypographicSymbols;Courier New" w:hAnsi="WP TypographicSymbols;Courier New"/>
          <w:sz w:val="24"/>
        </w:rPr>
        <w:t>'</w:t>
      </w:r>
      <w:r>
        <w:rPr>
          <w:sz w:val="24"/>
        </w:rPr>
        <w:t xml:space="preserve">s position,  EPMI would not waive, or consent to the disregard of, any of the terms of the MOPA concerning notice and the exercise of rights.  In other words, EPMI has placed, and hereby again places, TVA on notice that EPMI will insist on strict compliance with all terms of the MOPA, including those terms relating to the exercise of OPAs and the scheduling of energy, in the event that TVA ever seeks to recover damages from EPMI on the theory that EPMI has breached an obligation under the MOPA to schedule or deliver energy under the MOPA.  </w:t>
      </w:r>
    </w:p>
    <w:p>
      <w:pPr>
        <w:pStyle w:val="Normal"/>
        <w:jc w:val="both"/>
        <w:rPr>
          <w:sz w:val="24"/>
        </w:rPr>
      </w:pPr>
      <w:r>
        <w:rPr>
          <w:sz w:val="24"/>
        </w:rPr>
      </w:r>
    </w:p>
    <w:p>
      <w:pPr>
        <w:pStyle w:val="Normal"/>
        <w:ind w:firstLine="720" w:end="0"/>
        <w:jc w:val="both"/>
        <w:rPr>
          <w:sz w:val="24"/>
        </w:rPr>
      </w:pPr>
      <w:r>
        <w:rPr>
          <w:sz w:val="24"/>
        </w:rPr>
        <w:t xml:space="preserve">EPMI is also aware that TVA has taken the position in the litigation that TVA is uncertain whether it will be able to obtain power from other sources to make up for the energy that TVA expected to receive delivery of pursuant to the MOPA.  In order to address TVA's concern, EPMI offered on several occasions to sell energy to TVA, at a price to be quoted to TVA on a day ahead basis, sufficient to cover any energy that TVA otherwise would have scheduled under the MOPA during the pendency of the litigation, subject in all cases to EPMI returning the amounts received from TVA if it was ultimately determined that EPMI had acted improperly.  TVA rejected each of these proposals.  </w:t>
      </w:r>
    </w:p>
    <w:p>
      <w:pPr>
        <w:pStyle w:val="Normal"/>
        <w:ind w:firstLine="720" w:end="0"/>
        <w:jc w:val="both"/>
        <w:rPr>
          <w:sz w:val="24"/>
        </w:rPr>
      </w:pPr>
      <w:r>
        <w:rPr>
          <w:sz w:val="24"/>
        </w:rPr>
      </w:r>
    </w:p>
    <w:p>
      <w:pPr>
        <w:pStyle w:val="Normal"/>
        <w:ind w:firstLine="720" w:end="0"/>
        <w:jc w:val="both"/>
        <w:rPr>
          <w:sz w:val="24"/>
        </w:rPr>
      </w:pPr>
      <w:r>
        <w:rPr>
          <w:sz w:val="24"/>
        </w:rPr>
        <w:t>Based upon TVA's actions, we are compelled to remind TVA that under the express terms of the MOPA and federal common law, TVA has an affirmative duty to mitigate damages.  While EPMI is confident that it has acted in accordance with the MOPA and that it owes no damages to TVA, if for any reason it is ultimately determined that EPMI is responsible for some damages to TVA, TVA must be able to prove that its damages were reasonably incurred and that reasonable mitigation efforts were taken.  If TVA had accepted EPMI's offer to sell at market-based rates during the pendency of the litigation, not only would TVA's access to energy not have been impaired, but TVA would not have had to pay prices for energy that are higher than EPMI could otherwise provide.  EPMI further notes that contrary to TVA's duty to mitigate damages, TVA has consistently refused to accept energy from EPMI, despite the fact that EPMI's prices may be the lowest energy prices available and the transactions TVA may enter into with parties other than EPMI very likely will circle back to EPMI as either the ultimate source or as one of the suppliers in the chain.  TVA's refusal to deal with EPMI is directly contrary to TVA's duty to mitigate damages.</w:t>
      </w:r>
    </w:p>
    <w:p>
      <w:pPr>
        <w:pStyle w:val="Normal"/>
        <w:jc w:val="both"/>
        <w:rPr>
          <w:sz w:val="24"/>
        </w:rPr>
      </w:pPr>
      <w:r>
        <w:rPr>
          <w:sz w:val="24"/>
        </w:rPr>
      </w:r>
    </w:p>
    <w:p>
      <w:pPr>
        <w:pStyle w:val="Normal"/>
        <w:ind w:firstLine="720" w:end="0"/>
        <w:jc w:val="both"/>
        <w:rPr>
          <w:sz w:val="24"/>
        </w:rPr>
      </w:pPr>
      <w:r>
        <w:rPr>
          <w:sz w:val="24"/>
        </w:rPr>
        <w:t>Finally, EPMI takes note that TVA's refusal to accept "Into TVA" energy that is scheduled on a day ahead basis for delivery from EPMI's control areas, is not only wrongfully interfering with EPMI's right to transact with third parties, but is also driving up the price of the very energy that TVA seeks to purchase.  In order to satisfy its obligations to sell an "Into TVA" product to a third party, EPMI has every right to schedule energy from its control areas.  TVA's assertions to third parties such as AEP and Southern that TVA will not accept energy from EPMI's control areas is tortuously interfering with EPMI's ability to contract with third parties and impacting prices available in the market place.  EPMI strongly encourages TVA to reconsider its unwarranted position on this issue.</w:t>
      </w:r>
    </w:p>
    <w:p>
      <w:pPr>
        <w:pStyle w:val="Normal"/>
        <w:jc w:val="both"/>
        <w:rPr>
          <w:sz w:val="24"/>
        </w:rPr>
      </w:pPr>
      <w:r>
        <w:rPr>
          <w:sz w:val="24"/>
        </w:rPr>
      </w:r>
    </w:p>
    <w:p>
      <w:pPr>
        <w:pStyle w:val="Normal"/>
        <w:widowControl/>
        <w:jc w:val="both"/>
        <w:rPr>
          <w:sz w:val="22"/>
          <w:szCs w:val="22"/>
        </w:rPr>
      </w:pPr>
      <w:r>
        <w:rPr>
          <w:sz w:val="22"/>
          <w:szCs w:val="22"/>
        </w:rPr>
        <w:tab/>
        <w:tab/>
        <w:tab/>
        <w:tab/>
        <w:tab/>
        <w:tab/>
        <w:tab/>
        <w:t>Very truly yours,</w:t>
      </w:r>
    </w:p>
    <w:p>
      <w:pPr>
        <w:pStyle w:val="Normal"/>
        <w:widowControl/>
        <w:jc w:val="both"/>
        <w:rPr>
          <w:sz w:val="22"/>
          <w:szCs w:val="22"/>
        </w:rPr>
      </w:pPr>
      <w:r>
        <w:rPr>
          <w:sz w:val="22"/>
          <w:szCs w:val="22"/>
        </w:rPr>
      </w:r>
    </w:p>
    <w:p>
      <w:pPr>
        <w:pStyle w:val="Normal"/>
        <w:widowControl/>
        <w:jc w:val="both"/>
        <w:rPr>
          <w:sz w:val="22"/>
          <w:szCs w:val="22"/>
        </w:rPr>
      </w:pPr>
      <w:r>
        <w:rPr>
          <w:sz w:val="22"/>
          <w:szCs w:val="22"/>
        </w:rPr>
      </w:r>
    </w:p>
    <w:p>
      <w:pPr>
        <w:pStyle w:val="Normal"/>
        <w:widowControl/>
        <w:jc w:val="both"/>
        <w:rPr>
          <w:sz w:val="22"/>
          <w:szCs w:val="22"/>
        </w:rPr>
      </w:pPr>
      <w:r>
        <w:rPr>
          <w:sz w:val="22"/>
          <w:szCs w:val="22"/>
        </w:rPr>
      </w:r>
    </w:p>
    <w:p>
      <w:pPr>
        <w:pStyle w:val="Normal"/>
        <w:widowControl/>
        <w:jc w:val="both"/>
        <w:rPr>
          <w:sz w:val="22"/>
          <w:szCs w:val="22"/>
        </w:rPr>
      </w:pPr>
      <w:r>
        <w:rPr>
          <w:sz w:val="22"/>
          <w:szCs w:val="22"/>
        </w:rPr>
        <w:tab/>
        <w:tab/>
        <w:tab/>
        <w:tab/>
        <w:tab/>
        <w:tab/>
        <w:tab/>
        <w:t>Kevin Presto</w:t>
      </w:r>
    </w:p>
    <w:p>
      <w:pPr>
        <w:pStyle w:val="Normal"/>
        <w:widowControl/>
        <w:jc w:val="both"/>
        <w:rPr>
          <w:sz w:val="22"/>
          <w:szCs w:val="22"/>
        </w:rPr>
      </w:pPr>
      <w:r>
        <w:rPr>
          <w:sz w:val="22"/>
          <w:szCs w:val="22"/>
        </w:rPr>
        <w:tab/>
        <w:tab/>
        <w:tab/>
        <w:tab/>
        <w:tab/>
        <w:tab/>
        <w:tab/>
        <w:t>Vice President</w:t>
      </w:r>
    </w:p>
    <w:p>
      <w:pPr>
        <w:pStyle w:val="Normal"/>
        <w:widowControl/>
        <w:jc w:val="both"/>
        <w:rPr>
          <w:sz w:val="22"/>
          <w:szCs w:val="22"/>
        </w:rPr>
      </w:pPr>
      <w:r>
        <w:rPr>
          <w:sz w:val="22"/>
          <w:szCs w:val="22"/>
        </w:rPr>
        <w:t>.</w:t>
      </w:r>
      <w:r>
        <w:br w:type="page"/>
      </w:r>
    </w:p>
    <w:p>
      <w:pPr>
        <w:pStyle w:val="Normal"/>
        <w:widowControl/>
        <w:jc w:val="both"/>
        <w:rPr>
          <w:sz w:val="22"/>
        </w:rPr>
      </w:pPr>
      <w:r>
        <w:rPr>
          <w:sz w:val="22"/>
        </w:rPr>
        <w:t>bcc:</w:t>
        <w:tab/>
        <w:t>Jim Fallon</w:t>
      </w:r>
    </w:p>
    <w:p>
      <w:pPr>
        <w:pStyle w:val="Normal"/>
        <w:widowControl/>
        <w:jc w:val="both"/>
        <w:rPr>
          <w:sz w:val="22"/>
        </w:rPr>
      </w:pPr>
      <w:r>
        <w:rPr>
          <w:sz w:val="22"/>
        </w:rPr>
        <w:tab/>
        <w:t>Kevin Presto</w:t>
      </w:r>
    </w:p>
    <w:p>
      <w:pPr>
        <w:pStyle w:val="Normal"/>
        <w:widowControl/>
        <w:jc w:val="both"/>
        <w:rPr>
          <w:sz w:val="22"/>
        </w:rPr>
      </w:pPr>
      <w:r>
        <w:rPr>
          <w:sz w:val="22"/>
        </w:rPr>
        <w:tab/>
        <w:t>Rogers Herndon</w:t>
      </w:r>
    </w:p>
    <w:p>
      <w:pPr>
        <w:pStyle w:val="Normal"/>
        <w:widowControl/>
        <w:jc w:val="both"/>
        <w:rPr>
          <w:sz w:val="22"/>
        </w:rPr>
      </w:pPr>
      <w:r>
        <w:rPr>
          <w:sz w:val="22"/>
        </w:rPr>
        <w:tab/>
        <w:t>Richard Sanders</w:t>
      </w:r>
    </w:p>
    <w:p>
      <w:pPr>
        <w:pStyle w:val="Normal"/>
        <w:widowControl/>
        <w:jc w:val="both"/>
        <w:rPr>
          <w:sz w:val="22"/>
        </w:rPr>
      </w:pPr>
      <w:r>
        <w:rPr>
          <w:sz w:val="22"/>
        </w:rPr>
        <w:tab/>
        <w:t>Bob Madden</w:t>
      </w:r>
    </w:p>
    <w:p>
      <w:pPr>
        <w:pStyle w:val="Normal"/>
        <w:widowControl/>
        <w:jc w:val="both"/>
        <w:rPr>
          <w:sz w:val="22"/>
        </w:rPr>
      </w:pPr>
      <w:r>
        <w:rPr>
          <w:sz w:val="22"/>
        </w:rPr>
        <w:tab/>
        <w:t>Jeff Alexander</w:t>
      </w:r>
    </w:p>
    <w:p>
      <w:pPr>
        <w:pStyle w:val="Normal"/>
        <w:widowControl/>
        <w:jc w:val="both"/>
        <w:rPr>
          <w:sz w:val="22"/>
          <w:szCs w:val="22"/>
        </w:rPr>
      </w:pPr>
      <w:r>
        <w:rPr>
          <w:sz w:val="22"/>
          <w:szCs w:val="22"/>
        </w:rPr>
      </w:r>
    </w:p>
    <w:p>
      <w:pPr>
        <w:pStyle w:val="Normal"/>
        <w:ind w:firstLine="5040" w:end="0"/>
        <w:jc w:val="both"/>
        <w:rPr>
          <w:sz w:val="24"/>
          <w:szCs w:val="22"/>
        </w:rPr>
      </w:pPr>
      <w:r>
        <w:rPr>
          <w:sz w:val="24"/>
          <w:szCs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/mnt/main-storage/datasets/enron-docs/doc/tva12.doc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/mnt/main-storage/datasets/enron-docs/doc/tva12.doc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June ___,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p>
    <w:pPr>
      <w:pStyle w:val="Header"/>
      <w:rPr>
        <w:rStyle w:val="PageNumber"/>
        <w:sz w:val="22"/>
      </w:rPr>
    </w:pPr>
    <w:r>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2000-06-20T14:18:00Z</dcterms:created>
  <dc:creator>bwhiteh</dc:creator>
  <dc:description/>
  <dc:language>en-CA</dc:language>
  <cp:lastModifiedBy>esager</cp:lastModifiedBy>
  <cp:lastPrinted>2000-06-20T13:23:00Z</cp:lastPrinted>
  <dcterms:modified xsi:type="dcterms:W3CDTF">2000-06-20T16:17:00Z</dcterms:modified>
  <cp:revision>3</cp:revision>
  <dc:subject/>
  <dc:title/>
</cp:coreProperties>
</file>