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end="0"/>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tabs>
          <w:tab w:val="clear" w:pos="720"/>
          <w:tab w:val="center" w:pos="4680" w:leader="none"/>
        </w:tabs>
        <w:jc w:val="center"/>
        <w:rPr/>
      </w:pPr>
      <w:r>
        <w:rPr/>
        <w:fldChar w:fldCharType="begin"/>
      </w:r>
      <w:r>
        <w:rPr/>
        <w:instrText xml:space="preserve"> DATE \@"MMMM\ d', 'yyyy" </w:instrText>
      </w:r>
      <w:r>
        <w:rPr/>
        <w:fldChar w:fldCharType="separate"/>
      </w:r>
      <w:r>
        <w:rPr/>
        <w:t>September 28, 2025</w:t>
      </w:r>
      <w:r>
        <w:rPr/>
        <w:fldChar w:fldCharType="end"/>
      </w:r>
    </w:p>
    <w:p>
      <w:pPr>
        <w:pStyle w:val="Normal"/>
        <w:jc w:val="both"/>
        <w:rPr/>
      </w:pPr>
      <w:r>
        <w:rPr/>
      </w:r>
    </w:p>
    <w:p>
      <w:pPr>
        <w:pStyle w:val="Normal"/>
        <w:jc w:val="both"/>
        <w:rPr/>
      </w:pPr>
      <w:r>
        <w:rPr/>
      </w:r>
    </w:p>
    <w:p>
      <w:pPr>
        <w:pStyle w:val="Normal"/>
        <w:jc w:val="both"/>
        <w:rPr/>
      </w:pPr>
      <w:r>
        <w:rPr/>
        <w:t>Mr. Gary Jackson</w:t>
      </w:r>
    </w:p>
    <w:p>
      <w:pPr>
        <w:pStyle w:val="Normal"/>
        <w:jc w:val="both"/>
        <w:rPr/>
      </w:pPr>
      <w:r>
        <w:rPr/>
        <w:t>Tennessee Valley Authority</w:t>
      </w:r>
    </w:p>
    <w:p>
      <w:pPr>
        <w:pStyle w:val="Normal"/>
        <w:jc w:val="both"/>
        <w:rPr/>
      </w:pPr>
      <w:r>
        <w:rPr/>
        <w:t>1101 Market Street, MR BK</w:t>
      </w:r>
    </w:p>
    <w:p>
      <w:pPr>
        <w:pStyle w:val="Normal"/>
        <w:jc w:val="both"/>
        <w:rPr/>
      </w:pPr>
      <w:r>
        <w:rPr/>
        <w:t>Chattanooga, Tennessee 37402-2801</w:t>
      </w:r>
    </w:p>
    <w:p>
      <w:pPr>
        <w:pStyle w:val="Normal"/>
        <w:jc w:val="both"/>
        <w:rPr/>
      </w:pPr>
      <w:r>
        <w:rPr/>
      </w:r>
    </w:p>
    <w:p>
      <w:pPr>
        <w:pStyle w:val="Normal"/>
        <w:tabs>
          <w:tab w:val="clear" w:pos="720"/>
          <w:tab w:val="left" w:pos="-1440" w:leader="none"/>
        </w:tabs>
        <w:ind w:hanging="720" w:start="1440" w:end="0"/>
        <w:jc w:val="both"/>
        <w:rPr/>
      </w:pPr>
      <w:r>
        <w:rPr/>
        <w:t>Re:</w:t>
        <w:tab/>
        <w:t>December 6, 1995 Master Option Purchase Agreement by and between Enron Power Marketing, Inc. and Tennessee Valley Authority (MOPA)</w:t>
      </w:r>
    </w:p>
    <w:p>
      <w:pPr>
        <w:pStyle w:val="Normal"/>
        <w:jc w:val="both"/>
        <w:rPr/>
      </w:pPr>
      <w:r>
        <w:rPr/>
      </w:r>
    </w:p>
    <w:p>
      <w:pPr>
        <w:pStyle w:val="Normal"/>
        <w:jc w:val="both"/>
        <w:rPr/>
      </w:pPr>
      <w:r>
        <w:rPr/>
        <w:t>Dear Mr. Jackson:</w:t>
      </w:r>
    </w:p>
    <w:p>
      <w:pPr>
        <w:pStyle w:val="Normal"/>
        <w:jc w:val="both"/>
        <w:rPr/>
      </w:pPr>
      <w:r>
        <w:rPr/>
      </w:r>
    </w:p>
    <w:p>
      <w:pPr>
        <w:pStyle w:val="Normal"/>
        <w:ind w:firstLine="720" w:end="0"/>
        <w:jc w:val="both"/>
        <w:rPr/>
      </w:pPr>
      <w:r>
        <w:rPr/>
        <w:t>As you are aware, Section 4.3(b) of the MOPA clearly provides that, in the event that EPMI is unable to deliver Scheduled Energy to a Scheduled Delivery Point (</w:t>
      </w:r>
      <w:r>
        <w:rPr>
          <w:rFonts w:cs="WP TypographicSymbols" w:ascii="WP TypographicSymbols" w:hAnsi="WP TypographicSymbols"/>
        </w:rPr>
        <w:sym w:font="WP TypographicSymbols" w:char="f041"/>
      </w:r>
      <w:r>
        <w:rPr/>
        <w:t>SDP</w:t>
      </w:r>
      <w:r>
        <w:rPr>
          <w:rFonts w:cs="WP TypographicSymbols" w:ascii="WP TypographicSymbols" w:hAnsi="WP TypographicSymbols"/>
        </w:rPr>
        <w:sym w:font="WP TypographicSymbols" w:char="f040"/>
      </w:r>
      <w:r>
        <w:rPr/>
        <w:t>) because the transfer capability at the SDP is less than the amount specified on Exhibit 4.1(a), TVA is entitled to exercise its options for alternative delivery under Section 4.3(d) or be deemed to have failed to take delivery of the Scheduled Energy.  Thus, TVA bears the risk that Scheduled Energy will not be delivered at the SDP because of insufficient transfer capability regardless of whether the inability to transfer energy occurs at the time of scheduling or during delivery in the form of an interruption of transmission.</w:t>
      </w:r>
    </w:p>
    <w:p>
      <w:pPr>
        <w:pStyle w:val="Normal"/>
        <w:jc w:val="both"/>
        <w:rPr/>
      </w:pPr>
      <w:r>
        <w:rPr/>
      </w:r>
    </w:p>
    <w:p>
      <w:pPr>
        <w:pStyle w:val="Normal"/>
        <w:ind w:firstLine="720" w:end="0"/>
        <w:jc w:val="both"/>
        <w:rPr/>
      </w:pPr>
      <w:r>
        <w:rPr/>
        <w:t>Despite the unambiguous terms of Section 4.3(b), TVA has erroneously asserted that it has no obligation to take, pay, or arrange alternative delivery for energy that  EPMI is unable to deliver to TVA because the transfer capability at the SDP is less than the amount specified on Exhibit 4.1(a).  Indeed, on numerous occasions, EPMI has purchased energy that it has been unable to deliver to TVA because the transfer capability at the SDP is less than the amount specified on Exhibit 4.1(a) and TVA has refused to acknowledge its obligation to accept the energy and instead has insisted that EPMI has failed to honor its obligation to deliver energy.</w:t>
      </w:r>
    </w:p>
    <w:p>
      <w:pPr>
        <w:pStyle w:val="Normal"/>
        <w:jc w:val="both"/>
        <w:rPr/>
      </w:pPr>
      <w:r>
        <w:rPr/>
      </w:r>
    </w:p>
    <w:p>
      <w:pPr>
        <w:pStyle w:val="Normal"/>
        <w:ind w:firstLine="720" w:end="0"/>
        <w:jc w:val="both"/>
        <w:rPr/>
      </w:pPr>
      <w:r>
        <w:rPr/>
        <w:t>TVA</w:t>
      </w:r>
      <w:r>
        <w:rPr>
          <w:rFonts w:cs="WP TypographicSymbols" w:ascii="WP TypographicSymbols" w:hAnsi="WP TypographicSymbols"/>
        </w:rPr>
        <w:sym w:font="WP TypographicSymbols" w:char="f03d"/>
      </w:r>
      <w:r>
        <w:rPr/>
        <w:t>s consistent failure, and announced refusal, to perform its obligations to take, pay, or arrange alternative delivery for energy where EPMI is unable to deliver the energy to TVA because the transfer capability at the SDP is less than the amount specified on Exhibit 4.1(a) has placed EPMI in an untenable position.  Where this situation has arisen, EPMI has been forced to purchase energy to meet its delivery obligations to TVA, all the while knowing that it is virtually certain that TVA will ultimately repudiate its obligation to accept and pay for the energy.  Then, when TVA follows through on its avowed intention to repudiate its obligations, EPMI is forced to sell the energy that it has purchased for delivery to TVA, frequently at a substantial loss.  In each instance, TVA states that TVA will hold EPMI liable for the alleged damages that TVA incurs in buying replacement energy that EPMI allegedly failed to deliver.</w:t>
      </w:r>
    </w:p>
    <w:p>
      <w:pPr>
        <w:pStyle w:val="Normal"/>
        <w:ind w:firstLine="720" w:end="0"/>
        <w:jc w:val="both"/>
        <w:rPr/>
      </w:pPr>
      <w:r>
        <w:rPr/>
      </w:r>
    </w:p>
    <w:p>
      <w:pPr>
        <w:pStyle w:val="Normal"/>
        <w:ind w:firstLine="720" w:end="0"/>
        <w:jc w:val="both"/>
        <w:rPr/>
      </w:pPr>
      <w:r>
        <w:rPr/>
        <w:t>EPMI is, therefore, entitled to, and hereby demands, reasonable and adequate assurance from TVA that it will in the future perform its obligation under Section 4.3(b) of the MOPA to take, pay, or arrange alternative delivery for energy where EPMI is unable to deliver the energy to TVA because the transfer capability at the SDP is less than the amount specified on Exhibit 4.1(a).  Given the ongoing daily transactions occurring under the MOPA that are directly controlled by this issue, EPMI demands that TVA provide such assurance of future performance and compliance with the agreement immediately and in no event less that 48 hours after receipt of this letter.  Moreover, as individual situations arise where EPMI intends to purchase energy for delivery to TVA  at an SDP, where the transfer capability is less than the amount specified on Exhibit 4.1(a), EPMI will request on an immediate basis from TVA reasonable and adequate assurance that TVA will perform its obligation to take, pay, or arrange alternative delivery for such energy, before EPMI is forced to purchase energy that TVA has already determined that it will not accept.  Any failure or refusal by TVA to unqualifiedly acknowledge it obligations under the MOPA, in response to a request for assurance of performance, will be treated by EPMI as a direct representation that TVA does not intend to perform its obligations.</w:t>
      </w:r>
    </w:p>
    <w:p>
      <w:pPr>
        <w:pStyle w:val="Normal"/>
        <w:jc w:val="both"/>
        <w:rPr/>
      </w:pPr>
      <w:r>
        <w:rPr/>
      </w:r>
    </w:p>
    <w:p>
      <w:pPr>
        <w:pStyle w:val="Normal"/>
        <w:ind w:firstLine="5040" w:end="0"/>
        <w:jc w:val="both"/>
        <w:rPr/>
      </w:pPr>
      <w:r>
        <w:rPr/>
        <w:t>Very truly yours,</w:t>
      </w:r>
    </w:p>
    <w:p>
      <w:pPr>
        <w:pStyle w:val="Normal"/>
        <w:jc w:val="both"/>
        <w:rPr/>
      </w:pPr>
      <w:r>
        <w:rPr/>
      </w:r>
    </w:p>
    <w:p>
      <w:pPr>
        <w:pStyle w:val="Normal"/>
        <w:jc w:val="both"/>
        <w:rPr/>
      </w:pPr>
      <w:r>
        <w:rPr/>
      </w:r>
    </w:p>
    <w:p>
      <w:pPr>
        <w:pStyle w:val="Normal"/>
        <w:ind w:firstLine="5040" w:end="0"/>
        <w:jc w:val="both"/>
        <w:rPr/>
      </w:pPr>
      <w:r>
        <w:rPr/>
        <w:t>James B. Fallon</w:t>
      </w:r>
    </w:p>
    <w:p>
      <w:pPr>
        <w:pStyle w:val="Normal"/>
        <w:ind w:firstLine="5040" w:end="0"/>
        <w:jc w:val="both"/>
        <w:rPr/>
      </w:pPr>
      <w:r>
        <w:rPr/>
        <w:t>Vice President</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/mnt/main-storage/datasets/enron-docs/doc/tva12-e6c76b8408ad3abb628f2d527ec90ab18dac3c56da116630d34972c2f9a46022.doc</w:t>
    </w:r>
    <w:r>
      <w:rPr>
        <w:sz w:val="12"/>
      </w:rPr>
      <w:fldChar w:fldCharType="end"/>
    </w:r>
  </w:p>
  <w:p>
    <w:pPr>
      <w:pStyle w:val="Normal"/>
      <w:spacing w:lineRule="exact" w:line="24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/mnt/main-storage/datasets/enron-docs/doc/tva12-e6c76b8408ad3abb628f2d527ec90ab18dac3c56da116630d34972c2f9a46022.doc</w:t>
    </w:r>
    <w:r>
      <w:rPr>
        <w:sz w:val="12"/>
      </w:rPr>
      <w:fldChar w:fldCharType="end"/>
    </w:r>
  </w:p>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t>Mr. Gary Jackson</w:t>
    </w:r>
  </w:p>
  <w:p>
    <w:pPr>
      <w:pStyle w:val="Normal"/>
      <w:jc w:val="both"/>
      <w:rPr/>
    </w:pPr>
    <w:r>
      <w:rPr/>
      <w:t>Tennessee Valley Authority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1999-07-19T17:23:00Z</dcterms:created>
  <dc:creator>Brenda Whitehead</dc:creator>
  <dc:description/>
  <dc:language>en-CA</dc:language>
  <cp:lastModifiedBy>esager</cp:lastModifiedBy>
  <cp:lastPrinted>1999-07-20T10:03:00Z</cp:lastPrinted>
  <dcterms:modified xsi:type="dcterms:W3CDTF">1999-07-20T12:42:00Z</dcterms:modified>
  <cp:revision>5</cp:revision>
  <dc:subject/>
  <dc:title/>
</cp:coreProperties>
</file>