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00" w:after="0"/>
        <w:jc w:val="both"/>
        <w:rPr>
          <w:sz w:val="24"/>
        </w:rPr>
      </w:pPr>
      <w:r>
        <w:rPr>
          <w:sz w:val="24"/>
        </w:rPr>
        <w:t>July __, 1999</w:t>
      </w:r>
    </w:p>
    <w:p>
      <w:pPr>
        <w:pStyle w:val="Normal"/>
        <w:spacing w:before="480" w:after="0"/>
        <w:jc w:val="both"/>
        <w:rPr>
          <w:sz w:val="24"/>
        </w:rPr>
      </w:pPr>
      <w:r>
        <w:rPr>
          <w:sz w:val="24"/>
        </w:rPr>
        <w:t>Mr. Michehl Gent</w:t>
      </w:r>
    </w:p>
    <w:p>
      <w:pPr>
        <w:pStyle w:val="Normal"/>
        <w:jc w:val="both"/>
        <w:rPr>
          <w:sz w:val="24"/>
        </w:rPr>
      </w:pPr>
      <w:r>
        <w:rPr>
          <w:sz w:val="24"/>
        </w:rPr>
        <w:t>President</w:t>
      </w:r>
    </w:p>
    <w:p>
      <w:pPr>
        <w:pStyle w:val="Normal"/>
        <w:jc w:val="both"/>
        <w:rPr>
          <w:sz w:val="24"/>
        </w:rPr>
      </w:pPr>
      <w:r>
        <w:rPr>
          <w:sz w:val="24"/>
        </w:rPr>
        <w:t>North American Electric Reliability Council</w:t>
      </w:r>
    </w:p>
    <w:p>
      <w:pPr>
        <w:pStyle w:val="Normal"/>
        <w:jc w:val="both"/>
        <w:rPr>
          <w:sz w:val="24"/>
        </w:rPr>
      </w:pPr>
      <w:r>
        <w:rPr>
          <w:sz w:val="24"/>
        </w:rPr>
        <w:t>116-390 Village Blvd.</w:t>
      </w:r>
    </w:p>
    <w:p>
      <w:pPr>
        <w:pStyle w:val="Normal"/>
        <w:jc w:val="both"/>
        <w:rPr>
          <w:sz w:val="24"/>
        </w:rPr>
      </w:pPr>
      <w:r>
        <w:rPr>
          <w:sz w:val="24"/>
        </w:rPr>
        <w:t>Pinceton, New Jersey  08540-5731</w:t>
      </w:r>
    </w:p>
    <w:p>
      <w:pPr>
        <w:pStyle w:val="Normal"/>
        <w:spacing w:before="240" w:after="0"/>
        <w:jc w:val="both"/>
        <w:rPr>
          <w:sz w:val="24"/>
        </w:rPr>
      </w:pPr>
      <w:r>
        <w:rPr>
          <w:sz w:val="24"/>
        </w:rPr>
        <w:t>Re:</w:t>
        <w:tab/>
        <w:t>Enron Southeast Control Area</w:t>
      </w:r>
    </w:p>
    <w:p>
      <w:pPr>
        <w:pStyle w:val="Normal"/>
        <w:spacing w:before="240" w:after="0"/>
        <w:jc w:val="both"/>
        <w:rPr>
          <w:sz w:val="24"/>
        </w:rPr>
      </w:pPr>
      <w:r>
        <w:rPr>
          <w:sz w:val="24"/>
        </w:rPr>
        <w:t>Dear Mike:</w:t>
      </w:r>
    </w:p>
    <w:p>
      <w:pPr>
        <w:pStyle w:val="BodyText"/>
        <w:spacing w:before="120" w:after="0"/>
        <w:rPr/>
      </w:pPr>
      <w:r>
        <w:rPr/>
        <w:t>This letter is in response to the letter to you dated July 9, 1999 from the Tennessee Valley Authority ("TVA") regarding the status of Enron Southeast ("ENSE"), an affiliate of Enron Corp. ("Enron"), as a control area.  A copy of TVA's letter ("TVA Letter") is attached for reference.  In its letter, TVA raises a number of issues stating that it is electing to inform NERC of the issues now in the hope that we can resolve the outstanding issues, or short of amicable resolution, that the NERC ADR process will be facilitated and expedited.  TVA's plea is ingenuine and without merit.  As more fully set forth in out letter to you of July 12, 1999 ("Enron Letter), TVA has unilaterally decided to treat ENSE in a manner different from all other control areas by changing how it determines available transfer capacity ("ATC") on the intertie between TVA and ENSE.  TVA has taken "NERC Policy" into its own hands, made unilateral decisions which have the impact of denying ENSE the rights of a control area in complete disregard of NERC and SERC approvals, and now asks NERC to stand by and be ready to help resolve the potential dispute between Enron and TVA, couching its plea in general terms of "what should be the rights of a control area."</w:t>
      </w:r>
    </w:p>
    <w:p>
      <w:pPr>
        <w:pStyle w:val="BodyText"/>
        <w:spacing w:before="120" w:after="0"/>
        <w:rPr/>
      </w:pPr>
      <w:r>
        <w:rPr/>
        <w:t>As between TVA and Enron, the only issues properly before NERC at this time are those related to TVA's actions which amount to TVA's "taking the law into its own hands," and which are more fully outlined in the Enron Letter and to which TA alludes to bullet point numbers 3 and 4 of the TVA Letter.  Because of TVA's actions effective June 22</w:t>
      </w:r>
      <w:r>
        <w:rPr>
          <w:vertAlign w:val="superscript"/>
        </w:rPr>
        <w:t>nd</w:t>
      </w:r>
      <w:r>
        <w:rPr/>
        <w:t>, Enron has effectively been denied the rights of a control area.  In order to avoid immediate irreperble harm, Enron requires immediate relief.  Accordingly, Enron, as opposed to TVA, has sought NERC's guidance.  As more fully discussed below, with respect to the other issues raised in the TVA Letter, these are issues not unique to TVA and Enron and are currently being reviewed, discussed, analyzed and likely eventually implemented by the appropriate groups, NERC and the regional subcommittees.  Such issues should in no way be relied upon by TVA in asserting false justifications for its discriminatory actions.</w:t>
      </w:r>
    </w:p>
    <w:p>
      <w:pPr>
        <w:pStyle w:val="BodyText"/>
        <w:keepNext w:val="true"/>
        <w:spacing w:before="120" w:after="0"/>
        <w:rPr>
          <w:b/>
          <w:smallCaps/>
        </w:rPr>
      </w:pPr>
      <w:r>
        <w:rPr>
          <w:b/>
          <w:smallCaps/>
        </w:rPr>
        <w:t>Under current NERC policies, ENSE has been approved as a control area and should not be treated differently than any other control area</w:t>
      </w:r>
    </w:p>
    <w:p>
      <w:pPr>
        <w:pStyle w:val="BodyText"/>
        <w:keepNext w:val="true"/>
        <w:spacing w:before="120" w:after="0"/>
        <w:rPr/>
      </w:pPr>
      <w:r>
        <w:rPr/>
        <w:t>In the 1</w:t>
      </w:r>
      <w:r>
        <w:rPr>
          <w:vertAlign w:val="superscript"/>
        </w:rPr>
        <w:t>st</w:t>
      </w:r>
      <w:r>
        <w:rPr/>
        <w:t>, 2</w:t>
      </w:r>
      <w:r>
        <w:rPr>
          <w:vertAlign w:val="superscript"/>
        </w:rPr>
        <w:t>nd</w:t>
      </w:r>
      <w:r>
        <w:rPr/>
        <w:t xml:space="preserve"> and 5</w:t>
      </w:r>
      <w:r>
        <w:rPr>
          <w:vertAlign w:val="superscript"/>
        </w:rPr>
        <w:t>th</w:t>
      </w:r>
      <w:r>
        <w:rPr/>
        <w:t xml:space="preserve"> bullet points, TVA raises the following "concerns:"</w:t>
      </w:r>
    </w:p>
    <w:p>
      <w:pPr>
        <w:pStyle w:val="BodyText"/>
        <w:numPr>
          <w:ilvl w:val="0"/>
          <w:numId w:val="2"/>
        </w:numPr>
        <w:tabs>
          <w:tab w:val="clear" w:pos="720"/>
          <w:tab w:val="left" w:pos="1080" w:leader="none"/>
        </w:tabs>
        <w:spacing w:before="120" w:after="0"/>
        <w:ind w:hanging="360" w:start="1080" w:end="720"/>
        <w:rPr/>
      </w:pPr>
      <w:r>
        <w:rPr/>
        <w:t>How can a control area which consists solely of generating facilities and has no load perform control area functions when the generation is not operating?</w:t>
      </w:r>
    </w:p>
    <w:p>
      <w:pPr>
        <w:pStyle w:val="BodyText"/>
        <w:numPr>
          <w:ilvl w:val="0"/>
          <w:numId w:val="4"/>
        </w:numPr>
        <w:tabs>
          <w:tab w:val="clear" w:pos="720"/>
          <w:tab w:val="left" w:pos="1080" w:leader="none"/>
        </w:tabs>
        <w:spacing w:before="120" w:after="0"/>
        <w:ind w:hanging="360" w:start="1080" w:end="720"/>
        <w:rPr/>
      </w:pPr>
      <w:r>
        <w:rPr/>
        <w:t>Since the connection to the TVA system is not a free flowing interconnection and was designed solely to deliver the generation from the Enron generators to the TVA system, questions have been raised as to whether it is [sic] appropriate to reserve or schedule power to such a control area.</w:t>
      </w:r>
    </w:p>
    <w:p>
      <w:pPr>
        <w:pStyle w:val="BodyText"/>
        <w:numPr>
          <w:ilvl w:val="0"/>
          <w:numId w:val="3"/>
        </w:numPr>
        <w:tabs>
          <w:tab w:val="clear" w:pos="720"/>
          <w:tab w:val="left" w:pos="1080" w:leader="none"/>
        </w:tabs>
        <w:spacing w:before="120" w:after="0"/>
        <w:ind w:hanging="360" w:start="1080" w:end="720"/>
        <w:rPr/>
      </w:pPr>
      <w:r>
        <w:rPr/>
        <w:t>Since the Enron control are has no load and cannot be a sink for power, transactions that identify the Enron control area as a sink are fictional and do not correctly show the flow of power across interconnected systems.  As a result, the security coordinators cannot properly analyze transactions for such fictional points of delivery.  This type of masking leaves the TVA system and other interconnected systems in what amounts to an "unanalyzed state" which can result in reliability problems for impacted systems.</w:t>
      </w:r>
    </w:p>
    <w:p>
      <w:pPr>
        <w:pStyle w:val="BodyText"/>
        <w:spacing w:before="120" w:after="0"/>
        <w:rPr/>
      </w:pPr>
      <w:r>
        <w:rPr/>
        <w:t>While all of these are new issues more appropriately discussed by the NERC committees assigned to review control areas, Enron has the following observations under current NERC policies:</w:t>
      </w:r>
    </w:p>
    <w:p>
      <w:pPr>
        <w:pStyle w:val="BodyText"/>
        <w:numPr>
          <w:ilvl w:val="0"/>
          <w:numId w:val="1"/>
        </w:numPr>
        <w:tabs>
          <w:tab w:val="clear" w:pos="720"/>
          <w:tab w:val="left" w:pos="1170" w:leader="none"/>
        </w:tabs>
        <w:spacing w:before="120" w:after="0"/>
        <w:ind w:hanging="432" w:start="1170" w:end="0"/>
        <w:rPr/>
      </w:pPr>
      <w:r>
        <w:rPr/>
        <w:t>NERC does not distinguish between "generation only" control areas and other control areas.</w:t>
      </w:r>
    </w:p>
    <w:p>
      <w:pPr>
        <w:pStyle w:val="BodyText"/>
        <w:numPr>
          <w:ilvl w:val="0"/>
          <w:numId w:val="1"/>
        </w:numPr>
        <w:tabs>
          <w:tab w:val="clear" w:pos="720"/>
          <w:tab w:val="left" w:pos="1170" w:leader="none"/>
        </w:tabs>
        <w:spacing w:before="120" w:after="0"/>
        <w:ind w:hanging="432" w:start="1170" w:end="0"/>
        <w:rPr/>
      </w:pPr>
      <w:r>
        <w:rPr/>
        <w:t>NERC does not have any requirements that a control area have load.</w:t>
      </w:r>
      <w:r>
        <w:rPr>
          <w:rStyle w:val="FootnoteCharacters"/>
          <w:rStyle w:val="FootnoteReference"/>
        </w:rPr>
        <w:footnoteReference w:id="2"/>
      </w:r>
      <w:r>
        <w:rPr/>
        <w:t>.</w:t>
      </w:r>
    </w:p>
    <w:p>
      <w:pPr>
        <w:pStyle w:val="BodyText"/>
        <w:numPr>
          <w:ilvl w:val="0"/>
          <w:numId w:val="1"/>
        </w:numPr>
        <w:tabs>
          <w:tab w:val="clear" w:pos="720"/>
          <w:tab w:val="left" w:pos="1170" w:leader="none"/>
        </w:tabs>
        <w:spacing w:before="120" w:after="0"/>
        <w:ind w:hanging="432" w:start="1170" w:end="0"/>
        <w:rPr/>
      </w:pPr>
      <w:r>
        <w:rPr/>
        <w:t>NERC does not have any requirements that generation within a control area be operational at all times.</w:t>
      </w:r>
      <w:r>
        <w:rPr>
          <w:rStyle w:val="FootnoteCharacters"/>
          <w:rStyle w:val="FootnoteReference"/>
        </w:rPr>
        <w:footnoteReference w:id="3"/>
      </w:r>
    </w:p>
    <w:p>
      <w:pPr>
        <w:pStyle w:val="BodyText"/>
        <w:numPr>
          <w:ilvl w:val="0"/>
          <w:numId w:val="1"/>
        </w:numPr>
        <w:tabs>
          <w:tab w:val="clear" w:pos="720"/>
          <w:tab w:val="left" w:pos="1170" w:leader="none"/>
        </w:tabs>
        <w:spacing w:before="120" w:after="0"/>
        <w:ind w:hanging="432" w:start="1170" w:end="0"/>
        <w:rPr/>
      </w:pPr>
      <w:r>
        <w:rPr/>
        <w:t>NERC does not define a "free flowing interconnection."</w:t>
      </w:r>
      <w:r>
        <w:rPr>
          <w:rStyle w:val="FootnoteCharacters"/>
          <w:rStyle w:val="FootnoteReference"/>
        </w:rPr>
        <w:footnoteReference w:id="4"/>
      </w:r>
    </w:p>
    <w:p>
      <w:pPr>
        <w:pStyle w:val="BodyText"/>
        <w:numPr>
          <w:ilvl w:val="0"/>
          <w:numId w:val="1"/>
        </w:numPr>
        <w:tabs>
          <w:tab w:val="clear" w:pos="720"/>
          <w:tab w:val="left" w:pos="1170" w:leader="none"/>
        </w:tabs>
        <w:spacing w:before="120" w:after="0"/>
        <w:ind w:hanging="432" w:start="1170" w:end="0"/>
        <w:rPr/>
      </w:pPr>
      <w:r>
        <w:rPr/>
        <w:t>[Comment re:  reservation]</w:t>
      </w:r>
    </w:p>
    <w:p>
      <w:pPr>
        <w:pStyle w:val="BodyText"/>
        <w:numPr>
          <w:ilvl w:val="0"/>
          <w:numId w:val="1"/>
        </w:numPr>
        <w:tabs>
          <w:tab w:val="clear" w:pos="720"/>
          <w:tab w:val="left" w:pos="1170" w:leader="none"/>
        </w:tabs>
        <w:spacing w:before="120" w:after="0"/>
        <w:ind w:hanging="432" w:start="1170" w:end="0"/>
        <w:rPr/>
      </w:pPr>
      <w:r>
        <w:rPr/>
        <w:t>[Comment re: schedule/sink]</w:t>
      </w:r>
    </w:p>
    <w:p>
      <w:pPr>
        <w:pStyle w:val="BodyText"/>
        <w:keepNext w:val="true"/>
        <w:numPr>
          <w:ilvl w:val="0"/>
          <w:numId w:val="1"/>
        </w:numPr>
        <w:tabs>
          <w:tab w:val="clear" w:pos="720"/>
          <w:tab w:val="left" w:pos="1170" w:leader="none"/>
        </w:tabs>
        <w:spacing w:before="120" w:after="0"/>
        <w:ind w:hanging="432" w:start="1166" w:end="0"/>
        <w:rPr/>
      </w:pPr>
      <w:r>
        <w:rPr/>
        <w:t>NERC does not provide that a control area like ENSE cannot be a sink for power.</w:t>
      </w:r>
      <w:r>
        <w:rPr>
          <w:rStyle w:val="FootnoteCharacters"/>
          <w:rStyle w:val="FootnoteReference"/>
        </w:rPr>
        <w:footnoteReference w:id="5"/>
      </w:r>
    </w:p>
    <w:p>
      <w:pPr>
        <w:pStyle w:val="BodyText"/>
        <w:spacing w:before="120" w:after="0"/>
        <w:rPr>
          <w:b/>
          <w:smallCaps/>
        </w:rPr>
      </w:pPr>
      <w:r>
        <w:rPr>
          <w:b/>
          <w:smallCaps/>
        </w:rPr>
        <w:t>Current NERC policies regarding control areas are currently being reviewed by NERC and other regional councils</w:t>
      </w:r>
    </w:p>
    <w:p>
      <w:pPr>
        <w:pStyle w:val="BodyText"/>
        <w:spacing w:before="120" w:after="0"/>
        <w:rPr/>
      </w:pPr>
      <w:r>
        <w:rPr/>
        <w:t>NERC has formed a committee to analyze the role of control areas in today's competitive, deregulating market.  Everybody now recognizes that there is a tremendous economic advantage to being a control area in the rights to sink power on a prescheduled basis and then sell hourly and/or to sell power on a prescheduled basis and then fill hourly.  Players like Enron have been unable to compete in this market, leaving it to the few monopolists like TVA.  Enron can only speculate why TVA is taking the actions it has to date to prevent ENSE from having the rights of a control area, but we would speculate that TVA is so opposed to the idea only for competitive reasons.  [Last summer TVA made millions of dollars since it was the only player in the hourly market when prices were spiking – beef up / add proof]  Importantly as noted by _________, TVA was cited as one of the major reasons for the price spike in June 1998.  When questioned, TVA will state that its efforts to derail ENSE rights as a control area are governed solely for "reliability concerns."  When questioned however, TVA has yet to provide Enron or NERC one single piece of evidence of reliability issues.</w:t>
      </w:r>
    </w:p>
    <w:p>
      <w:pPr>
        <w:pStyle w:val="BodyText"/>
        <w:spacing w:before="120" w:after="0"/>
        <w:rPr/>
      </w:pPr>
      <w:r>
        <w:rPr/>
        <w:t>Most importantly, however, is that NERC and other regional councils are investigating and analyzing all of these issues.  [More data on committees.]  These are not issues as between TVA and ENSE only; they are global issues that will impact all of NERC and each market participant.  Accordingly, these issues must necessarily be reviewed by NERC, taking into consideration all relevant facts and participants, in an orderly and systematic review.  In the meanwhile, however, TVA should not be permitted to rely on any of these issues to deny ENSE its rights as a control area under current NERC policies.</w:t>
      </w:r>
    </w:p>
    <w:p>
      <w:pPr>
        <w:pStyle w:val="BodyText"/>
        <w:spacing w:before="120" w:after="0"/>
        <w:rPr>
          <w:b/>
          <w:smallCaps/>
        </w:rPr>
      </w:pPr>
      <w:r>
        <w:rPr>
          <w:b/>
          <w:smallCaps/>
        </w:rPr>
        <w:t>TVA's unilateral, discriminatory actions have forced Enron to seek relief from NERC</w:t>
      </w:r>
    </w:p>
    <w:p>
      <w:pPr>
        <w:pStyle w:val="BodyText"/>
        <w:spacing w:before="120" w:after="0"/>
        <w:rPr/>
      </w:pPr>
      <w:r>
        <w:rPr/>
        <w:t>In the 3</w:t>
      </w:r>
      <w:r>
        <w:rPr>
          <w:vertAlign w:val="superscript"/>
        </w:rPr>
        <w:t>rd</w:t>
      </w:r>
      <w:r>
        <w:rPr/>
        <w:t xml:space="preserve"> and 4</w:t>
      </w:r>
      <w:r>
        <w:rPr>
          <w:vertAlign w:val="superscript"/>
        </w:rPr>
        <w:t>th</w:t>
      </w:r>
      <w:r>
        <w:rPr/>
        <w:t xml:space="preserve"> bullets of the TVA Letter, TVA mentions two additional "concerns:"</w:t>
      </w:r>
    </w:p>
    <w:p>
      <w:pPr>
        <w:pStyle w:val="BodyText"/>
        <w:numPr>
          <w:ilvl w:val="0"/>
          <w:numId w:val="4"/>
        </w:numPr>
        <w:tabs>
          <w:tab w:val="clear" w:pos="720"/>
          <w:tab w:val="left" w:pos="1080" w:leader="none"/>
        </w:tabs>
        <w:spacing w:before="120" w:after="0"/>
        <w:ind w:hanging="360" w:start="1080" w:end="720"/>
        <w:rPr/>
      </w:pPr>
      <w:r>
        <w:rPr/>
        <w:t>Associated with the concern above is the appropriateness of netting schedules into and out of a generation-only control area that is not configured to operate as a free flowing interconnection.</w:t>
      </w:r>
    </w:p>
    <w:p>
      <w:pPr>
        <w:pStyle w:val="BodyText"/>
        <w:numPr>
          <w:ilvl w:val="0"/>
          <w:numId w:val="4"/>
        </w:numPr>
        <w:tabs>
          <w:tab w:val="clear" w:pos="720"/>
          <w:tab w:val="left" w:pos="1080" w:leader="none"/>
        </w:tabs>
        <w:spacing w:before="120" w:after="0"/>
        <w:ind w:hanging="360" w:start="1080" w:end="720"/>
        <w:rPr/>
      </w:pPr>
      <w:r>
        <w:rPr/>
        <w:t>Enron has reserved and scheduled more than twice its rated contract path capacity to be delivered to its generator bus.  We do not consider it proper to continue to permit reservations and schedules to and from such a control area in excess of the capabilities of the interconnection facilities connecting the Enron facilities to the TVA system.</w:t>
      </w:r>
    </w:p>
    <w:p>
      <w:pPr>
        <w:pStyle w:val="BodyText"/>
        <w:spacing w:before="120" w:after="0"/>
        <w:rPr/>
      </w:pPr>
      <w:r>
        <w:rPr/>
        <w:t>These are not merely "concerns" of TVA:  Effective June 22, 1999, TVA unilaterally decided, after repeated requests from Enron to delay the actions pending NERC review, both (1) to refuse to recognize ENSE's right to net scheduled interchanges and (2) to reduce TVA's Oasis posted ATC to and from ENSE to 631 MW, the capacity of ENSE's generator step-up transformer ("Transformer").  These actions are why Enron was forced to seek NERC's guidance on an emergency basis and are the only issues between TVA and EPMI properly before NERC at this time.</w:t>
      </w:r>
    </w:p>
    <w:p>
      <w:pPr>
        <w:pStyle w:val="BodyText"/>
        <w:spacing w:before="120" w:after="0"/>
        <w:rPr/>
      </w:pPr>
      <w:r>
        <w:rPr/>
        <w:t>Revise if we decide to keep:  As more fully described in the Enron Letter, TVA incorrectly asserts that its action in this regard is justified by NERC Policy 3(D)(1) which addresses, not the determination of ATC but instead, maximum scheduled interchange.  In essence, TVA asserts that it is entitled to limit the posted ATC of the ENSE/TVA interconnection based on its unilateral (and demonstrably wrong) determination of the maximum scheduled interchange between the two control areas as defined in Policy 3(D)(1).  This justification is flatly contradicted by controlling NERC policy.</w:t>
      </w:r>
    </w:p>
    <w:p>
      <w:pPr>
        <w:pStyle w:val="BodyText"/>
        <w:spacing w:before="120" w:after="0"/>
        <w:rPr/>
      </w:pPr>
      <w:r>
        <w:rPr/>
        <w:t>The NERC Policy controlling the calculation and posting of ATC is Policy 3(d) (2)</w:t>
      </w:r>
      <w:r>
        <w:rPr>
          <w:rStyle w:val="FootnoteCharacters"/>
          <w:rStyle w:val="FootnoteReference"/>
        </w:rPr>
        <w:footnoteReference w:id="6"/>
      </w:r>
      <w:r>
        <w:rPr/>
        <w:t>.  Policy 3(D)(1), which TVA relies on for its actions, in no way addresses the proper method for determining ATC.  Contrary to TVA's position, Policy 3(D)(2) in no way provides or allows for ATC to be limited by the maximum scheduled interchange as set out in accordance with Policy 3(D)(1).  Despite this fact, TVA is ignoring the explicit mandates of Policy 3(D)(2) and is instead determining and posting the ATC of the ENSE/TVA interconnection in accordance with its unilateral determination of the unrelated concept of maximum scheduled interchange.</w:t>
      </w:r>
    </w:p>
    <w:p>
      <w:pPr>
        <w:pStyle w:val="BodyText"/>
        <w:spacing w:before="120" w:after="0"/>
        <w:rPr/>
      </w:pPr>
      <w:r>
        <w:rPr/>
        <w:t>The complete lack of merit in TVA's position is further highlighted by the fact that TVA's determination of the maximum scheduled interchange between ENSE and TVA, as set out in Policy 3(D)(1), is also incorrect.  As more fully explained in the Enron letter, TVA's refusing to recognize ENSE's right to net scheduled interchanges and is improperly calculating the net scheduled interchange by disregarding both "owned and arranged for transmission facilities" and the TTC of the available transmission facilities and instead limiting the posted ATC to the single factor of ENSE's Transformer.  Thus, TVA is using an irrelevant and incorrect calculation of maximum scheduled interchange to improperly limit the ATC at the ENSE/TVA interconnection, all to Enron's and the electrical energy buying public's substantial and continuing detriment.</w:t>
      </w:r>
    </w:p>
    <w:p>
      <w:pPr>
        <w:pStyle w:val="BodyText"/>
        <w:spacing w:before="120" w:after="0"/>
        <w:rPr/>
      </w:pPr>
      <w:r>
        <w:rPr/>
        <w:t>In conclusion, TVA's concern about netting because ENSE is not a "free flowing interconnection" is not just a concern:  TVA has unilaterally denied ENSE the right to net based on its concerns of "free flowing interconnections" which has no basis in NERC Policy.  TVA's statement that Enron has reserved and scheduled more than twice its rated contract path capacity is patently false.  Prior to June 22</w:t>
      </w:r>
      <w:r>
        <w:rPr>
          <w:vertAlign w:val="superscript"/>
        </w:rPr>
        <w:t>nd</w:t>
      </w:r>
      <w:r>
        <w:rPr/>
        <w:t>, TVA posted ATC to and from ENSE and on certain occasions ENSE properly purchased and utilized the transmission capability which still exists today.  Effective June 22</w:t>
      </w:r>
      <w:r>
        <w:rPr>
          <w:vertAlign w:val="superscript"/>
        </w:rPr>
        <w:t>nd</w:t>
      </w:r>
      <w:r>
        <w:rPr/>
        <w:t>, TVA unilaterally denied ENSE the right to purchase and utilize transmission which is otherwise made available for every other control area.  And it is these exact issues that Enron requested NERC to address.</w:t>
      </w:r>
    </w:p>
    <w:p>
      <w:pPr>
        <w:pStyle w:val="BodyText"/>
        <w:spacing w:before="120" w:after="0"/>
        <w:rPr>
          <w:b/>
          <w:smallCaps/>
        </w:rPr>
      </w:pPr>
      <w:r>
        <w:rPr>
          <w:b/>
          <w:smallCaps/>
        </w:rPr>
        <w:t>Requested NERC Involvement</w:t>
      </w:r>
    </w:p>
    <w:p>
      <w:pPr>
        <w:pStyle w:val="BodyText"/>
        <w:spacing w:before="120" w:after="0"/>
        <w:rPr/>
      </w:pPr>
      <w:r>
        <w:rPr/>
        <w:t>For whatever reasons, TVA does not want ENSE to be a control area despite NERC's and SERC's certification of ENSE as a control area.  To this end, TVA has raised philosophical questions concerning control areas in general in order to mask its discriminatory actions which amount to denying ENSE rights as a control area.  TVA's actions in this regard are not in compliance with NERC policies and procedures and TVA should be told by NERC to cease such actions.  Under current NERC guidelines, TVA's actions are wholly without justification.  If after NERC's review of control areas, NERC elects to modify the rules or requirements, then the status of all control areas, including ENSE, will need to be considered in light of such new rules.  Until such time, however, the current NERC rules should govern and TVA should not be allowed to rely on a wrong interpretation of NERC Policy #3 to defend its unilateral discriminatory actions.</w:t>
      </w:r>
    </w:p>
    <w:p>
      <w:pPr>
        <w:pStyle w:val="BodyText"/>
        <w:spacing w:before="120" w:after="0"/>
        <w:rPr/>
      </w:pPr>
      <w:r>
        <w:rPr/>
        <w:t>Accordingly, Enron hereby formally repeats its request to NERC for guidance on the two Questions of Interpretation set forth in the Enron Letter.  In addition, Enron requests that NERC inform TVA that (1) under current NERC rules, ENSE is a control area just like any other control area and should be treated by TVA as such, and (2) TVA's concerns expressed in the TVA Letter will be addressed by the appropriate NERC committee reviewing control areas, and in the meanwhile should not be relied on by TVA for any discriminatory treatment of ENSE.  Again, Enron thanks you in advance for your prompt assistance in this urgent matter.</w:t>
      </w:r>
    </w:p>
    <w:p>
      <w:pPr>
        <w:pStyle w:val="BodyText"/>
        <w:spacing w:before="240" w:after="0"/>
        <w:rPr/>
      </w:pPr>
      <w:r>
        <w:rPr/>
        <w:t>Best regards,</w:t>
      </w:r>
    </w:p>
    <w:p>
      <w:pPr>
        <w:pStyle w:val="BodyText"/>
        <w:spacing w:before="600" w:after="0"/>
        <w:rPr/>
      </w:pPr>
      <w:r>
        <w:rPr/>
        <w:t>Jeffrey K. Skilling</w:t>
      </w:r>
    </w:p>
    <w:p>
      <w:pPr>
        <w:pStyle w:val="BodyText"/>
        <w:rPr/>
      </w:pPr>
      <w:r>
        <w:rPr/>
        <w:t>or Steve Kean</w:t>
      </w:r>
    </w:p>
    <w:p>
      <w:pPr>
        <w:pStyle w:val="BodyText"/>
        <w:rPr/>
      </w:pPr>
      <w:r>
        <w:rPr/>
        <w:t>or Dick Ingersoll</w:t>
      </w:r>
    </w:p>
    <w:p>
      <w:pPr>
        <w:pStyle w:val="BodyText"/>
        <w:spacing w:before="120" w:after="0"/>
        <w:rPr/>
      </w:pPr>
      <w:r>
        <w:rPr/>
        <w:t>cc:</w:t>
        <w:tab/>
        <w:t>David Cook – NERC</w:t>
      </w:r>
    </w:p>
    <w:p>
      <w:pPr>
        <w:pStyle w:val="BodyText"/>
        <w:rPr/>
      </w:pPr>
      <w:r>
        <w:rPr/>
        <w:tab/>
        <w:t>James Maughn – SERC</w:t>
      </w:r>
    </w:p>
    <w:p>
      <w:pPr>
        <w:pStyle w:val="BodyText"/>
        <w:rPr/>
      </w:pPr>
      <w:r>
        <w:rPr/>
        <w:tab/>
        <w:t>Terry Boston - TVA</w:t>
      </w:r>
    </w:p>
    <w:sectPr>
      <w:headerReference w:type="default" r:id="rId2"/>
      <w:headerReference w:type="first" r:id="rId3"/>
      <w:footerReference w:type="default" r:id="rId4"/>
      <w:footerReference w:type="first" r:id="rId5"/>
      <w:footnotePr>
        <w:numFmt w:val="decimal"/>
        <w:numRestart w:val="eachSect"/>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/mnt/main-storage/datasets/enron-docs/doc/tva11.doc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/mnt/main-storage/datasets/enron-docs/doc/tva11.doc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80" w:after="0"/>
        <w:jc w:val="both"/>
        <w:rPr/>
      </w:pPr>
      <w:r>
        <w:rPr>
          <w:rStyle w:val="FootnoteCharacters"/>
        </w:rPr>
        <w:footnoteRef/>
      </w:r>
      <w:r>
        <w:rPr/>
        <w:t xml:space="preserve">  </w:t>
      </w:r>
      <w:r>
        <w:rPr>
          <w:sz w:val="16"/>
        </w:rPr>
        <w:t>NERC policy defines load as ___________.  Under this definition Enron currently has only wholesale load.  TVA is likely referring to retail load, but this is not stated.  If NERC subsequently determines to add a load requirement it will need to consider all these issues including just how much load is "enough load."</w:t>
      </w:r>
    </w:p>
  </w:footnote>
  <w:footnote w:id="3">
    <w:p>
      <w:pPr>
        <w:pStyle w:val="FootnoteText"/>
        <w:spacing w:before="80" w:after="0"/>
        <w:jc w:val="both"/>
        <w:rPr/>
      </w:pPr>
      <w:r>
        <w:rPr>
          <w:rStyle w:val="FootnoteCharacters"/>
        </w:rPr>
        <w:footnoteRef/>
      </w:r>
      <w:r>
        <w:rPr/>
        <w:t xml:space="preserve">  </w:t>
      </w:r>
      <w:r>
        <w:rPr>
          <w:sz w:val="16"/>
        </w:rPr>
        <w:t>Again, should NERC subsequently determine to make a new requirement regarding must run generation, it will need to consider all the issues:  how much generation "must run;" if the generation is down by force majeure, by planned outage, by simple non-use for an hour, a day, or a month what are the attendant rights and obligations of a control area.</w:t>
      </w:r>
    </w:p>
  </w:footnote>
  <w:footnote w:id="4">
    <w:p>
      <w:pPr>
        <w:pStyle w:val="FootnoteText"/>
        <w:spacing w:before="80" w:after="0"/>
        <w:jc w:val="both"/>
        <w:rPr/>
      </w:pPr>
      <w:r>
        <w:rPr>
          <w:rStyle w:val="FootnoteCharacters"/>
        </w:rPr>
        <w:footnoteRef/>
      </w:r>
      <w:r>
        <w:rPr/>
        <w:t xml:space="preserve">   </w:t>
      </w:r>
      <w:r>
        <w:rPr>
          <w:sz w:val="16"/>
        </w:rPr>
        <w:t>Enron can only speculate as to what TVA is referring when complaining that ENSE is not as "free flowing interconnection." [As Enron sees it, ENSE is "free-flowing."  The point of connection between ENSE and TVA is the Haywood Substation, which is "looped" (i.e., not radially connected) into TVA's existing 500 kV T.L.  Power scheduled through ENSE would flow from the Jackson and Cordova terminals through the Haywood Substation.  The four combustion turbines at the Brownsville facility could be physically disconnected from the 500 kV T.L. and the flow of power should in no way be interrupted.]</w:t>
      </w:r>
    </w:p>
  </w:footnote>
  <w:footnote w:id="5">
    <w:p>
      <w:pPr>
        <w:pStyle w:val="FootnoteText"/>
        <w:spacing w:before="80" w:after="0"/>
        <w:jc w:val="both"/>
        <w:rPr/>
      </w:pPr>
      <w:r>
        <w:rPr>
          <w:rStyle w:val="FootnoteCharacters"/>
        </w:rPr>
        <w:footnoteRef/>
      </w:r>
      <w:r>
        <w:rPr/>
        <w:t xml:space="preserve">  </w:t>
      </w:r>
      <w:r>
        <w:rPr>
          <w:sz w:val="16"/>
        </w:rPr>
        <w:t>TVA falsely states that transactions that identify ENSE are "fictional."  These transactions are no less fictional than what any other control area can do every day.  Every day control areas sink power to their control area on a prescheduled basis and then resell it on the hourly market.  Why ENSE's transactions are fictional and TVA's not is laughable.  TVA further claims that a security coordinator is unable to "analyze transactions" which can result in</w:t>
      </w:r>
      <w:r>
        <w:rPr/>
        <w:t xml:space="preserve"> </w:t>
      </w:r>
      <w:r>
        <w:rPr>
          <w:sz w:val="16"/>
        </w:rPr>
        <w:t>"reliability problems."  Again, this is patently false.  [ENSE is properly modeled for load and flow analysis schedules in</w:t>
      </w:r>
      <w:r>
        <w:rPr/>
        <w:t xml:space="preserve"> </w:t>
      </w:r>
      <w:r>
        <w:rPr>
          <w:sz w:val="16"/>
        </w:rPr>
        <w:t>and</w:t>
      </w:r>
      <w:r>
        <w:rPr/>
        <w:t xml:space="preserve"> </w:t>
      </w:r>
      <w:r>
        <w:rPr>
          <w:sz w:val="16"/>
        </w:rPr>
        <w:t>out of ENSE once reported correctly in the TVA network.]  [Likely not add but consider  . . .  Maybe it is only TVA with its inadequate and non-functioning [ACE system] that would be troubled by analyzing the transactions.]</w:t>
      </w:r>
    </w:p>
  </w:footnote>
  <w:footnote w:id="6">
    <w:p>
      <w:pPr>
        <w:pStyle w:val="FootnoteText"/>
        <w:rPr/>
      </w:pPr>
      <w:r>
        <w:rPr>
          <w:rStyle w:val="FootnoteCharacters"/>
        </w:rPr>
        <w:footnoteRef/>
      </w:r>
      <w:r>
        <w:rPr/>
        <w:t xml:space="preserve">   </w:t>
      </w:r>
      <w:r>
        <w:rPr>
          <w:sz w:val="16"/>
        </w:rPr>
        <w:t>NERC Policy 3(D)(2) provides as follows:</w:t>
      </w:r>
    </w:p>
    <w:p>
      <w:pPr>
        <w:pStyle w:val="FootnoteText"/>
        <w:spacing w:before="120" w:after="0"/>
        <w:ind w:start="720" w:end="0"/>
        <w:jc w:val="both"/>
        <w:rPr/>
      </w:pPr>
      <w:r>
        <w:rPr>
          <w:sz w:val="16"/>
        </w:rPr>
        <w:t xml:space="preserve">Available Transfer Capability.  Available Transfer Capability (ATC) is an in indication of the additional transfer capability remaining the physical and transmission network for further commercial activity over and above already committed uses between two CONTROL AREAS.  Available Transfer Capability is defined in </w:t>
      </w:r>
      <w:r>
        <w:rPr>
          <w:i/>
          <w:sz w:val="16"/>
        </w:rPr>
        <w:t>Available Transfer Capability Definitions and Determination</w:t>
      </w:r>
      <w:r>
        <w:rPr>
          <w:sz w:val="16"/>
        </w:rPr>
        <w:t>, NERC, June 1996.</w:t>
      </w:r>
    </w:p>
    <w:p>
      <w:pPr>
        <w:pStyle w:val="FootnoteText"/>
        <w:spacing w:before="120" w:after="0"/>
        <w:rPr/>
      </w:pPr>
      <w:r>
        <w:rPr>
          <w:i/>
          <w:sz w:val="16"/>
        </w:rPr>
        <w:t xml:space="preserve">  </w:t>
      </w:r>
      <w:r>
        <w:rPr>
          <w:i/>
          <w:sz w:val="16"/>
        </w:rPr>
        <w:t>Available Transfer Capability Definitions and Determination</w:t>
      </w:r>
      <w:r>
        <w:rPr>
          <w:sz w:val="16"/>
        </w:rPr>
        <w:t>, provides as follows:</w:t>
      </w:r>
    </w:p>
    <w:p>
      <w:pPr>
        <w:pStyle w:val="FootnoteText"/>
        <w:spacing w:before="120" w:after="0"/>
        <w:ind w:start="720" w:end="0"/>
        <w:jc w:val="both"/>
        <w:rPr>
          <w:sz w:val="16"/>
        </w:rPr>
      </w:pPr>
      <w:r>
        <w:rPr>
          <w:sz w:val="16"/>
        </w:rPr>
        <w:t>Mathematically, ATC is defined as the Total Transfer Capability (TTC) less the Transmission Reliability Margin (TRM), less the sum of existing transmission commitments (which includes retail customer service) and the Capacity Benefit Margin (CBM).  ATC can be expressed as:</w:t>
      </w:r>
    </w:p>
    <w:p>
      <w:pPr>
        <w:pStyle w:val="FootnoteText"/>
        <w:spacing w:before="120" w:after="0"/>
        <w:ind w:start="720" w:end="0"/>
        <w:jc w:val="both"/>
        <w:rPr>
          <w:sz w:val="16"/>
        </w:rPr>
      </w:pPr>
      <w:r>
        <w:rPr>
          <w:sz w:val="16"/>
        </w:rPr>
        <w:t>ATC  =  TTC  -  TRM  -  Existing Transmission Commitments (including (CBM)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North American Electric Reliability Council</w:t>
    </w:r>
  </w:p>
  <w:p>
    <w:pPr>
      <w:pStyle w:val="Header"/>
      <w:rPr>
        <w:sz w:val="24"/>
      </w:rPr>
    </w:pPr>
    <w:r>
      <w:rPr>
        <w:sz w:val="24"/>
      </w:rPr>
      <w:t>July ___, 1999</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72" w:hanging="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1999-07-13T11:38:00Z</dcterms:created>
  <dc:creator>scromwe</dc:creator>
  <dc:description/>
  <dc:language>en-CA</dc:language>
  <cp:lastModifiedBy>Brenda Whitehead</cp:lastModifiedBy>
  <cp:lastPrinted>1999-07-13T14:05:00Z</cp:lastPrinted>
  <dcterms:modified xsi:type="dcterms:W3CDTF">1999-07-13T16:35:00Z</dcterms:modified>
  <cp:revision>11</cp:revision>
  <dc:subject/>
  <dc:title>July __, 1999</dc:title>
</cp:coreProperties>
</file>