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00" w:after="0"/>
        <w:ind w:hanging="0" w:start="0"/>
        <w:jc w:val="center"/>
        <w:rPr>
          <w:b w:val="false"/>
          <w:caps w:val="false"/>
          <w:smallCaps w:val="false"/>
          <w:u w:val="none"/>
        </w:rPr>
      </w:pPr>
      <w:r>
        <w:rPr>
          <w:b w:val="false"/>
          <w:caps w:val="false"/>
          <w:smallCaps w:val="false"/>
          <w:u w:val="none"/>
        </w:rPr>
        <w:t>July 8, 1999</w:t>
      </w:r>
    </w:p>
    <w:p>
      <w:pPr>
        <w:pStyle w:val="Normal"/>
        <w:spacing w:before="800" w:after="0"/>
        <w:jc w:val="both"/>
        <w:rPr/>
      </w:pPr>
      <w:r>
        <w:rPr/>
        <w:t>Michael Gent, President</w:t>
      </w:r>
    </w:p>
    <w:p>
      <w:pPr>
        <w:pStyle w:val="Normal"/>
        <w:jc w:val="both"/>
        <w:rPr/>
      </w:pPr>
      <w:r>
        <w:rPr/>
        <w:t>North American Electric Reliability Council</w:t>
      </w:r>
    </w:p>
    <w:p>
      <w:pPr>
        <w:pStyle w:val="Normal"/>
        <w:jc w:val="both"/>
        <w:rPr/>
      </w:pPr>
      <w:r>
        <w:rPr/>
        <w:t>[NEED ADDRESS]</w:t>
      </w:r>
    </w:p>
    <w:p>
      <w:pPr>
        <w:pStyle w:val="Normal"/>
        <w:spacing w:before="240" w:after="0"/>
        <w:ind w:start="720" w:end="0"/>
        <w:jc w:val="both"/>
        <w:rPr/>
      </w:pPr>
      <w:r>
        <w:rPr/>
        <w:t>Re:</w:t>
        <w:tab/>
        <w:t>Enron Southeast Control Area</w:t>
      </w:r>
    </w:p>
    <w:p>
      <w:pPr>
        <w:pStyle w:val="Normal"/>
        <w:spacing w:before="240" w:after="0"/>
        <w:jc w:val="both"/>
        <w:rPr/>
      </w:pPr>
      <w:r>
        <w:rPr/>
        <w:t>Dear Mike:</w:t>
      </w:r>
    </w:p>
    <w:p>
      <w:pPr>
        <w:pStyle w:val="BodyText"/>
        <w:spacing w:before="120" w:after="0"/>
        <w:rPr/>
      </w:pPr>
      <w:r>
        <w:rPr/>
        <w:tab/>
        <w:t xml:space="preserve">I write to enlist the North American Electric Reliability Council's ("NERC") urgent assistance in providing an authoritative interpretation of NERC Policy #3 – Interchange.  NERC member Tennessee Valley Authority ("TVA") recently changed how it determines available transfer capability on the intertie between TVA and Enron Southeast ("ENSE"); as a result, the amount of Interchange TVA is allowing ENSE to schedule has been drastically reduced, causing Enron irreparable harm in the form of potentially unquantifiable economic harm in lost business opportunities.  TVA defends this action in reliance on NERC Policy #3.  TVA has claimed that such action is required in order for TVA to be in compliance with NERC's policies.  Enron disagrees with TVA's assertions and believes that only NERC's authoritative interpretation will enable the parties to resolve this matter without being forced to resort to litigation.  </w:t>
      </w:r>
    </w:p>
    <w:p>
      <w:pPr>
        <w:pStyle w:val="BodyText"/>
        <w:spacing w:before="120" w:after="0"/>
        <w:rPr>
          <w:b/>
          <w:smallCaps/>
          <w:u w:val="single"/>
        </w:rPr>
      </w:pPr>
      <w:r>
        <w:rPr>
          <w:b/>
          <w:smallCaps/>
          <w:u w:val="single"/>
        </w:rPr>
        <w:t>Background</w:t>
      </w:r>
    </w:p>
    <w:p>
      <w:pPr>
        <w:pStyle w:val="BodyText"/>
        <w:spacing w:before="120" w:after="0"/>
        <w:rPr/>
      </w:pPr>
      <w:r>
        <w:rPr/>
        <w:tab/>
        <w:t>ENSE began operating as a control area on June 1, 1999.  It satisfactorily completed its Southeastern Electric Reliability Council ("SERC") certification audit on June 10, 1999.  Since then, ENSE has been recognized by both SERC and NERC as a Control Area.  From June 1, 1999, until June 22, 1999, TVA and ENSE operated on the understanding, based on Policy #3, that the maximum Interchange that ENSE could schedule into or out of its Control Area was limited only by the transmission facilities in service at the intertie connecting the ENSE and TVA control areas.  TVA and ENSE further interpreted Policy #3 as measuring the scheduled Interchange between them on a net basis (i.e., the difference between the gross amount that ENSE schedule into its control area and the gross amount scheduled out).</w:t>
      </w:r>
    </w:p>
    <w:p>
      <w:pPr>
        <w:pStyle w:val="BodyText"/>
        <w:spacing w:before="120" w:after="0"/>
        <w:rPr/>
      </w:pPr>
      <w:r>
        <w:rPr/>
        <w:tab/>
        <w:t>Beginning June 22, 1999, however, TVA made what TVA described as a "correction to policy" to make the limiting factor on the scheduled interchange and associated Transfer Capability between ENSE and TVA the capacity at a step-up transformer, not connected to TVA, inside of the ENSE control area.  (As far as Enron understands, TVA does not similarly limit its maximum net interchange with any other control area.)  When TVA informed ENSE of this "correction to policy," TVA stated that it was required in order for TVA to comply with NERC Policy #3.  NERC Policy #3 provides as follows:</w:t>
      </w:r>
    </w:p>
    <w:p>
      <w:pPr>
        <w:pStyle w:val="Normal"/>
        <w:spacing w:before="120" w:after="0"/>
        <w:ind w:start="720" w:end="0"/>
        <w:jc w:val="both"/>
        <w:rPr/>
      </w:pPr>
      <w:r>
        <w:rPr/>
        <w:t>"The maximum net scheduled interchange between two control areas shall not exceed the lesser of the following:</w:t>
      </w:r>
    </w:p>
    <w:p>
      <w:pPr>
        <w:pStyle w:val="Normal"/>
        <w:spacing w:before="120" w:after="0"/>
        <w:ind w:hanging="360" w:start="1080" w:end="0"/>
        <w:jc w:val="both"/>
        <w:rPr/>
      </w:pPr>
      <w:r>
        <w:rPr/>
        <w:t>1.</w:t>
        <w:tab/>
        <w:t>The established network Total Transfer Capability (TTC) between the Control Areas….</w:t>
      </w:r>
    </w:p>
    <w:p>
      <w:pPr>
        <w:pStyle w:val="BodyTextIndent"/>
        <w:rPr/>
      </w:pPr>
      <w:r>
        <w:rPr/>
        <w:t>2.</w:t>
        <w:tab/>
        <w:t>The total capacity of the owned and arranged-for transmission facilities in service between the two Control Areas."</w:t>
      </w:r>
    </w:p>
    <w:p>
      <w:pPr>
        <w:pStyle w:val="Heading1"/>
        <w:ind w:hanging="0" w:start="0"/>
        <w:rPr>
          <w:b w:val="false"/>
          <w:caps w:val="false"/>
          <w:smallCaps w:val="false"/>
          <w:u w:val="none"/>
        </w:rPr>
      </w:pPr>
      <w:r>
        <w:rPr/>
        <w:t>NERC Questions of Interpretation</w:t>
      </w:r>
    </w:p>
    <w:p>
      <w:pPr>
        <w:pStyle w:val="Normal"/>
        <w:spacing w:before="120" w:after="0"/>
        <w:ind w:start="720" w:end="0"/>
        <w:rPr/>
      </w:pPr>
      <w:r>
        <w:rPr/>
        <w:t>Enron requests NERC to provide its interpretation with respect to the following issues:</w:t>
      </w:r>
    </w:p>
    <w:p>
      <w:pPr>
        <w:pStyle w:val="Heading1"/>
        <w:ind w:hanging="0" w:start="720" w:end="0"/>
        <w:rPr>
          <w:caps w:val="false"/>
          <w:smallCaps w:val="false"/>
        </w:rPr>
      </w:pPr>
      <w:r>
        <w:rPr>
          <w:caps w:val="false"/>
          <w:smallCaps w:val="false"/>
        </w:rPr>
        <w:t>Netting Under NERC Policy #3</w:t>
      </w:r>
    </w:p>
    <w:p>
      <w:pPr>
        <w:pStyle w:val="Normal"/>
        <w:spacing w:before="120" w:after="0"/>
        <w:ind w:start="720" w:end="0"/>
        <w:jc w:val="both"/>
        <w:rPr/>
      </w:pPr>
      <w:r>
        <w:rPr/>
        <w:t>TVA has unilaterally determined that Enron is not permitted to "net" its scheduled interchanges in order to determine compliance with NERC Policy #3.  Enron is not aware of any other control area that is not permitted to net for purposes of compliance with NERC Policy #3.</w:t>
      </w:r>
    </w:p>
    <w:p>
      <w:pPr>
        <w:pStyle w:val="Normal"/>
        <w:spacing w:before="120" w:after="0"/>
        <w:ind w:start="720" w:end="0"/>
        <w:jc w:val="both"/>
        <w:rPr/>
      </w:pPr>
      <w:r>
        <w:rPr/>
        <w:t>The question Enron needs NERC to answer is as follows:</w:t>
      </w:r>
    </w:p>
    <w:p>
      <w:pPr>
        <w:pStyle w:val="BodyTextIndent2"/>
        <w:spacing w:before="360" w:after="240"/>
        <w:rPr>
          <w:b/>
        </w:rPr>
      </w:pPr>
      <w:r>
        <w:rPr>
          <w:b/>
        </w:rPr>
        <w:t>Should all control areas be permitted to net their scheduled interchanges for purposes of compliance with NERC Policy #3 so that you measure only the net difference between the megawatts being delivered into and out of the control area on a real time basis as opposed to the gross total of all megawatts delivered into and out of the control area?</w:t>
      </w:r>
    </w:p>
    <w:p>
      <w:pPr>
        <w:pStyle w:val="Heading1"/>
        <w:ind w:hanging="0" w:start="720" w:end="0"/>
        <w:rPr>
          <w:caps w:val="false"/>
          <w:smallCaps w:val="false"/>
        </w:rPr>
      </w:pPr>
      <w:r>
        <w:rPr>
          <w:caps w:val="false"/>
          <w:smallCaps w:val="false"/>
        </w:rPr>
        <w:t>Meaning of Transmission Facilities under NERC Policy #3</w:t>
      </w:r>
    </w:p>
    <w:p>
      <w:pPr>
        <w:pStyle w:val="Normal"/>
        <w:spacing w:before="120" w:after="0"/>
        <w:ind w:start="720" w:end="0"/>
        <w:jc w:val="both"/>
        <w:rPr/>
      </w:pPr>
      <w:r>
        <w:rPr/>
        <w:t>TVA has interpreted the phrase "transmission facilities" to include the step-up transformers at ENSE's Brownsville plant.  As a result, TVA has limited the available transfer capability between ENSE and other points of delivery to 631 MW (the approximate transfer capability of the step-up transformers at the Brownsville plant).  Enron does not believe that its transformers are appropriately classified as "transmission facilities" for purposes of NERC Policy #3.</w:t>
      </w:r>
    </w:p>
    <w:p>
      <w:pPr>
        <w:pStyle w:val="Normal"/>
        <w:spacing w:before="120" w:after="0"/>
        <w:ind w:start="720" w:end="0"/>
        <w:jc w:val="both"/>
        <w:rPr/>
      </w:pPr>
      <w:r>
        <w:rPr/>
        <w:t>The questions Enron needs NERC to answer are as follows:</w:t>
      </w:r>
    </w:p>
    <w:p>
      <w:pPr>
        <w:pStyle w:val="Normal"/>
        <w:spacing w:before="360" w:after="0"/>
        <w:ind w:hanging="360" w:start="1800" w:end="0"/>
        <w:jc w:val="both"/>
        <w:rPr/>
      </w:pPr>
      <w:r>
        <w:rPr/>
        <w:t>1.</w:t>
        <w:tab/>
      </w:r>
      <w:r>
        <w:rPr>
          <w:b/>
        </w:rPr>
        <w:t>Should ENSE's step-up transformer at the Brownsville facility, which is not connected to TVA, be considered a "transmission facility" for purposes of determining compliance with NERC Policy #3?</w:t>
      </w:r>
    </w:p>
    <w:p>
      <w:pPr>
        <w:pStyle w:val="BodyTextIndent3"/>
        <w:spacing w:before="120" w:after="240"/>
        <w:rPr/>
      </w:pPr>
      <w:r>
        <w:rPr/>
        <w:t>2.</w:t>
        <w:tab/>
      </w:r>
      <w:r>
        <w:rPr>
          <w:b/>
        </w:rPr>
        <w:t>Should the transfer capability of the intertie between ENSE and TVA (net of any other reservations) be limited only by the total physical transfer capability of TVA's transmission facilities at that intertie?</w:t>
      </w:r>
    </w:p>
    <w:p>
      <w:pPr>
        <w:pStyle w:val="BodyText"/>
        <w:spacing w:before="120" w:after="0"/>
        <w:rPr/>
      </w:pPr>
      <w:r>
        <w:rPr/>
        <w:tab/>
        <w:t>In addition to reducing drastically the Transfer Capability available for Interchange into and out of ENSE from several thousand megawatts to only 631 megawatts (the approximate transfer capability of the step-up transformers at the Brownsville plant), the practical effect of TVA's unilateral "correction" is to deny ENSE the ability to perform critical control-area functions.  In recent days, TVA has threatened to deny ENSE other services due a NERC control area.  Enron has spent a substantial amount of money to satisfy the requirements of NERC Policy #3 and is economically injured by TVA's unilateral decision to deny ENSE the full rights of a control area.</w:t>
      </w:r>
    </w:p>
    <w:p>
      <w:pPr>
        <w:pStyle w:val="BodyText"/>
        <w:keepNext w:val="true"/>
        <w:spacing w:before="120" w:after="0"/>
        <w:rPr/>
      </w:pPr>
      <w:r>
        <w:rPr/>
        <w:tab/>
        <w:t>In closing, permit me to reiterate that TVA, a NERC Control Area, has adopted an interpretation of NERC Policy #3 that is costing ENSE, another NERC control area, many millions of dollars.  NERC alone can opine authoritatively whether TVA's interpretation of NERC Policy #3 is correct or not.  Enron requests that you promptly provide your authoritative interpretation by communicating to ENSE and TVA your answers to the two questions stated above.  [ENRON IS PREPARED TO COMPLY WITH YOUR INTERPRETATION AND EXPECTS THAT, AS A NERC CONTROL AREA, TVA WILL DO THE SAME.]  Thank you for your assistance in this matter.</w:t>
      </w:r>
    </w:p>
    <w:p>
      <w:pPr>
        <w:pStyle w:val="Normal"/>
        <w:keepNext w:val="true"/>
        <w:spacing w:before="120" w:after="0"/>
        <w:ind w:start="4320" w:end="0"/>
        <w:jc w:val="both"/>
        <w:rPr/>
      </w:pPr>
      <w:r>
        <w:rPr/>
        <w:t>Very truly yours,</w:t>
      </w:r>
    </w:p>
    <w:p>
      <w:pPr>
        <w:pStyle w:val="Normal"/>
        <w:spacing w:before="600" w:after="0"/>
        <w:ind w:start="4320" w:end="0"/>
        <w:jc w:val="both"/>
        <w:rPr/>
      </w:pPr>
      <w:r>
        <w:rPr/>
        <w:t>Jeffrey K. Skilling</w:t>
      </w:r>
    </w:p>
    <w:p>
      <w:pPr>
        <w:pStyle w:val="Normal"/>
        <w:spacing w:before="120" w:after="0"/>
        <w:jc w:val="both"/>
        <w:rPr/>
      </w:pPr>
      <w:r>
        <w:rPr/>
        <w:t>cc:</w:t>
        <w:tab/>
        <w:t>David Cook</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/mnt/main-storage/datasets/enron-docs/doc/tva10.doc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/mnt/main-storage/datasets/enron-docs/doc/tva10.doc</w:t>
    </w:r>
    <w:r>
      <w:rPr>
        <w:sz w:val="12"/>
        <w:lang w:eastAsia="en-US"/>
      </w:rPr>
      <w:fldChar w:fldCharType="end"/>
    </w:r>
  </w:p>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North American Electric Reliability Council</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120" w:after="0"/>
      <w:jc w:val="both"/>
      <w:outlineLvl w:val="0"/>
    </w:pPr>
    <w:rPr>
      <w:b/>
      <w:smallCap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hanging="360" w:start="1080" w:end="0"/>
      <w:jc w:val="both"/>
    </w:pPr>
    <w:rPr/>
  </w:style>
  <w:style w:type="paragraph" w:styleId="BodyTextIndent2">
    <w:name w:val="Body Text Indent 2"/>
    <w:basedOn w:val="Normal"/>
    <w:qFormat/>
    <w:pPr>
      <w:spacing w:before="120" w:after="0"/>
      <w:ind w:hanging="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spacing w:before="120" w:after="0"/>
      <w:ind w:hanging="360" w:start="1800" w:end="0"/>
      <w:jc w:val="both"/>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1999-07-08T19:39:00Z</dcterms:created>
  <dc:creator>Brenda Whitehead</dc:creator>
  <dc:description/>
  <dc:language>en-CA</dc:language>
  <cp:lastModifiedBy>Brenda Whitehead</cp:lastModifiedBy>
  <cp:lastPrinted>1999-07-08T17:13:00Z</cp:lastPrinted>
  <dcterms:modified xsi:type="dcterms:W3CDTF">1999-07-08T19:44:00Z</dcterms:modified>
  <cp:revision>3</cp:revision>
  <dc:subject/>
  <dc:title>RIDER A</dc:title>
</cp:coreProperties>
</file>