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sz w:val="28"/>
        </w:rPr>
      </w:pPr>
      <w:r>
        <w:rPr>
          <w:b/>
          <w:bCs/>
          <w:sz w:val="28"/>
        </w:rPr>
        <w:t>TURBO PARK</w:t>
      </w:r>
    </w:p>
    <w:p>
      <w:pPr>
        <w:pStyle w:val="BodyText"/>
        <w:rPr/>
      </w:pPr>
      <w:r>
        <w:rPr>
          <w:b/>
          <w:bCs/>
          <w:u w:val="single"/>
        </w:rPr>
        <w:t>MAJOR EPC COMMENTS</w:t>
      </w:r>
      <w:r>
        <w:rPr/>
        <w:br/>
        <w:t>27 November 2000</w:t>
      </w:r>
    </w:p>
    <w:p>
      <w:pPr>
        <w:pStyle w:val="Normal"/>
        <w:jc w:val="center"/>
        <w:rPr/>
      </w:pPr>
      <w:r>
        <w:rPr/>
      </w:r>
    </w:p>
    <w:p>
      <w:pPr>
        <w:pStyle w:val="Normal"/>
        <w:rPr/>
      </w:pPr>
      <w:r>
        <w:rPr/>
        <w:tab/>
        <w:t>This sets out major issues arising from an initial legal review by EECC and NEPCO of the “EPC Draft No.3” document (the “Contract’) provided to us by ENA and EGF last week.  The second tier legal issues and drafting points will be provided later.  In addition, the Contract needs to be reviewed and commented on by appropriate commercial personnel at EECC and NEPCO.</w:t>
      </w:r>
    </w:p>
    <w:p>
      <w:pPr>
        <w:pStyle w:val="Normal"/>
        <w:rPr/>
      </w:pPr>
      <w:r>
        <w:rPr/>
      </w:r>
    </w:p>
    <w:p>
      <w:pPr>
        <w:pStyle w:val="Normal"/>
        <w:rPr/>
      </w:pPr>
      <w:r>
        <w:rPr/>
        <w:tab/>
        <w:t xml:space="preserve">Generally, our comments are based on the understanding that the goal is to work towards a form power plant EPC agreement for the Turbo Park structure.  Accordingly, deal specific agreements for projects similar to TECO (which were limited to upgrades of previously existing facilities) may not make sense in the context of a contract for the construction of an entire power plant.  We have not been advised as to which points in the EPC are critical to the 9710 off balance sheet structuring, so please let us know if any points we raise impact that effort so we can find an acceptable work-around. </w:t>
      </w:r>
    </w:p>
    <w:p>
      <w:pPr>
        <w:pStyle w:val="Normal"/>
        <w:jc w:val="center"/>
        <w:rPr/>
      </w:pPr>
      <w:r>
        <w:rPr/>
      </w:r>
    </w:p>
    <w:p>
      <w:pPr>
        <w:pStyle w:val="Normal"/>
        <w:numPr>
          <w:ilvl w:val="0"/>
          <w:numId w:val="3"/>
        </w:numPr>
        <w:tabs>
          <w:tab w:val="clear" w:pos="720"/>
          <w:tab w:val="left" w:pos="360" w:leader="none"/>
        </w:tabs>
        <w:ind w:hanging="360" w:start="360" w:end="0"/>
        <w:rPr/>
      </w:pPr>
      <w:r>
        <w:rPr>
          <w:b/>
          <w:bCs/>
          <w:u w:val="single"/>
        </w:rPr>
        <w:t>CONTRACT PRICING PHILOSOPHY</w:t>
      </w:r>
      <w:r>
        <w:rPr/>
        <w:t>.  This is not a truly reimbursable contract or a lump sum turnkey contract.  The Contractor consequently is subjected to an unusual risk profile, especially as to price.  NEPCO needs to review the pricing philosophy set out in the Contract Price, Cost of Work, and Contractor Fee mechanisms to see if these are acceptable from a commercial viewpoint.  Of specific interest is the interplay between the subjective review of the Cost of Work expenditures (e.g. Section 7.1.1) and Guaranteed Maximum Price and related provisions (e.g., Section 3.12 on booking keeping and audit, Section 3.13.3 on taxes).  As a rule, NEPCO excludes all taxes other than Contractor’ income and withholding taxes obligation from the Contract, and these remain owner obligations.</w:t>
      </w:r>
    </w:p>
    <w:p>
      <w:pPr>
        <w:pStyle w:val="Normal"/>
        <w:rPr/>
      </w:pPr>
      <w:r>
        <w:rPr/>
      </w:r>
    </w:p>
    <w:p>
      <w:pPr>
        <w:pStyle w:val="Normal"/>
        <w:numPr>
          <w:ilvl w:val="0"/>
          <w:numId w:val="3"/>
        </w:numPr>
        <w:tabs>
          <w:tab w:val="clear" w:pos="720"/>
          <w:tab w:val="left" w:pos="360" w:leader="none"/>
        </w:tabs>
        <w:ind w:hanging="360" w:start="360" w:end="0"/>
        <w:rPr/>
      </w:pPr>
      <w:r>
        <w:rPr>
          <w:b/>
          <w:bCs/>
          <w:u w:val="single"/>
        </w:rPr>
        <w:t>ROLE OF CONSTRUCTION MANAGER</w:t>
      </w:r>
      <w:r>
        <w:rPr/>
        <w:t xml:space="preserve">.  The relationship between Construction Manager, Owner and Contractor needs to be clarified.  As we understand it, Contractor is taking the Owner’s credit risk, not that of the Construction Manager.  The Owner needs to sign the Contract in some capacity so that the Contractor will have privity with the real party in interest, and vice-versa.   </w:t>
      </w:r>
    </w:p>
    <w:p>
      <w:pPr>
        <w:pStyle w:val="Normal"/>
        <w:ind w:start="360" w:end="0"/>
        <w:rPr>
          <w:b/>
          <w:bCs/>
          <w:u w:val="single"/>
        </w:rPr>
      </w:pPr>
      <w:r>
        <w:rPr>
          <w:b/>
          <w:bCs/>
          <w:u w:val="single"/>
        </w:rPr>
      </w:r>
    </w:p>
    <w:p>
      <w:pPr>
        <w:pStyle w:val="BodyTextIndent2"/>
        <w:rPr/>
      </w:pPr>
      <w:r>
        <w:rPr/>
        <w:t xml:space="preserve">Generally, the Contract should not refer to the Construction Manager, except in Section 4.6, in which the Owner should designate it as the Owner’s authorized representative.  Section 4.6 should state only that the Construction Manager is the duly authorized and exclusive representative of the Owner during construction, and that unless and until Owner notifies Contractor that the Construction Manager has been changed or terminated, all communications, notifications, and directions from Owner, including as to change orders and disputes, will be from the Construction Manager to the exclusion of the Owner, and that all correspondence from Contractor should be addressed to the Construction Manager, though these can be copied to the Owner.  In addition to stating that all actions of the Construction Manager shall bind the Owner for all purposes, and the section should state that the Owner is liable for all actions of the Construction Manager.  Indications that the Contractor might receive and be bound to follow instructions from multiple sources (e.g., Section 3.8.4) or deal with multiple sources for contractually required approvals (e.g. Section 4.6 and 4.6.2) need to be clarified so that Contractor deals with one authoritative point of contact.  Construction Manager and Owner can institute procedures between themselves to govern the Construction Manager’s scope of authority and other issues. </w:t>
      </w:r>
    </w:p>
    <w:p>
      <w:pPr>
        <w:pStyle w:val="BodyTextIndent2"/>
        <w:rPr/>
      </w:pPr>
      <w:r>
        <w:rPr/>
      </w:r>
    </w:p>
    <w:p>
      <w:pPr>
        <w:pStyle w:val="Normal"/>
        <w:numPr>
          <w:ilvl w:val="0"/>
          <w:numId w:val="3"/>
        </w:numPr>
        <w:tabs>
          <w:tab w:val="clear" w:pos="720"/>
          <w:tab w:val="left" w:pos="360" w:leader="none"/>
        </w:tabs>
        <w:ind w:hanging="360" w:start="360" w:end="0"/>
        <w:rPr/>
      </w:pPr>
      <w:r>
        <w:rPr>
          <w:b/>
          <w:bCs/>
          <w:u w:val="single"/>
        </w:rPr>
        <w:t>CONSTRUCTION MANAGER LIMITATION OF LIABILITY</w:t>
      </w:r>
      <w:r>
        <w:rPr/>
        <w:t xml:space="preserve">.  Limitations of liability of the Construction Manager are a matter of an agreement between the Construction Manager and the Owner, it is not appropriate to address in the EPC.  </w:t>
      </w:r>
    </w:p>
    <w:p>
      <w:pPr>
        <w:pStyle w:val="Normal"/>
        <w:rPr/>
      </w:pPr>
      <w:r>
        <w:rPr/>
      </w:r>
    </w:p>
    <w:p>
      <w:pPr>
        <w:pStyle w:val="Normal"/>
        <w:numPr>
          <w:ilvl w:val="0"/>
          <w:numId w:val="3"/>
        </w:numPr>
        <w:tabs>
          <w:tab w:val="clear" w:pos="720"/>
          <w:tab w:val="left" w:pos="360" w:leader="none"/>
        </w:tabs>
        <w:ind w:hanging="360" w:start="360" w:end="0"/>
        <w:rPr/>
      </w:pPr>
      <w:r>
        <w:rPr>
          <w:b/>
          <w:bCs/>
          <w:u w:val="single"/>
        </w:rPr>
        <w:t>DISCLAIMER OF THIRD PARTY BENEFICIARIES</w:t>
      </w:r>
      <w:r>
        <w:rPr/>
        <w:t>.  The Contractor is entering into the Contract with and for the benefit of the Owner, and all contractual rights and obligations must flow between the Owner and the Contractor so that the Contractor is not exposed to claims and interference from third parties.  Accordingly, a clause specifically excluding third party beneficiary standing of equity owners, potential facility lessees, power off-takers, Lenders (except to the extent set out in any direct agreement between the Contractor and Lenders) and others needs to be added.</w:t>
      </w:r>
    </w:p>
    <w:p>
      <w:pPr>
        <w:pStyle w:val="Normal"/>
        <w:rPr/>
      </w:pPr>
      <w:r>
        <w:rPr/>
      </w:r>
    </w:p>
    <w:p>
      <w:pPr>
        <w:pStyle w:val="Normal"/>
        <w:numPr>
          <w:ilvl w:val="0"/>
          <w:numId w:val="3"/>
        </w:numPr>
        <w:tabs>
          <w:tab w:val="clear" w:pos="720"/>
          <w:tab w:val="left" w:pos="360" w:leader="none"/>
        </w:tabs>
        <w:ind w:hanging="360" w:start="360" w:end="0"/>
        <w:rPr/>
      </w:pPr>
      <w:r>
        <w:rPr>
          <w:b/>
          <w:bCs/>
          <w:u w:val="single"/>
        </w:rPr>
        <w:t>NTP CLARIFICATION</w:t>
      </w:r>
      <w:r>
        <w:rPr/>
        <w:t xml:space="preserve"> - Section 5.1.1 re NTP Effective Date needs to clarify that satisfaction of conditions required fro NTP Effectiveness, and that credit worthiness of Owner must be demonstrated to </w:t>
      </w:r>
      <w:r>
        <w:rPr>
          <w:i/>
          <w:iCs/>
        </w:rPr>
        <w:t>the reasonable satisfaction of Contractor</w:t>
      </w:r>
      <w:r>
        <w:rPr/>
        <w:t xml:space="preserve">. </w:t>
      </w:r>
    </w:p>
    <w:p>
      <w:pPr>
        <w:pStyle w:val="Normal"/>
        <w:rPr/>
      </w:pPr>
      <w:r>
        <w:rPr/>
      </w:r>
    </w:p>
    <w:p>
      <w:pPr>
        <w:pStyle w:val="Normal"/>
        <w:numPr>
          <w:ilvl w:val="0"/>
          <w:numId w:val="3"/>
        </w:numPr>
        <w:tabs>
          <w:tab w:val="clear" w:pos="720"/>
          <w:tab w:val="left" w:pos="360" w:leader="none"/>
        </w:tabs>
        <w:ind w:hanging="360" w:start="360" w:end="0"/>
        <w:rPr/>
      </w:pPr>
      <w:r>
        <w:rPr>
          <w:b/>
          <w:bCs/>
          <w:u w:val="single"/>
        </w:rPr>
        <w:t>PRE NTP SCOPE SPECIFICATION</w:t>
      </w:r>
      <w:r>
        <w:rPr/>
        <w:t xml:space="preserve"> – Section 5.1.1.regarding Pre NTP needs to specify the Scope of the PNTP that the Owner can give before without meeting the requirements for NTP Effectiveness.  We recommend that this be done by reference to an Exhibit that will be agreed on a deal by deal basis.</w:t>
      </w:r>
    </w:p>
    <w:p>
      <w:pPr>
        <w:pStyle w:val="Normal"/>
        <w:rPr/>
      </w:pPr>
      <w:r>
        <w:rPr/>
      </w:r>
    </w:p>
    <w:p>
      <w:pPr>
        <w:pStyle w:val="BodyTextIndent"/>
        <w:numPr>
          <w:ilvl w:val="0"/>
          <w:numId w:val="3"/>
        </w:numPr>
        <w:tabs>
          <w:tab w:val="clear" w:pos="720"/>
          <w:tab w:val="left" w:pos="360" w:leader="none"/>
        </w:tabs>
        <w:ind w:hanging="360" w:start="360" w:end="0"/>
        <w:rPr/>
      </w:pPr>
      <w:r>
        <w:rPr>
          <w:b/>
          <w:bCs/>
          <w:u w:val="single"/>
        </w:rPr>
        <w:t>CLARIFICATION OF OWNER SUPPLIED EQUIPMENT MECHANISMS</w:t>
      </w:r>
      <w:r>
        <w:rPr/>
        <w:t>.  The Contract does not make the relationship between the Owner Supplier Equipment Vendors and the Contractor clear enough, especially as to how the Contractor is to have the authority to deal with these vendors, and the recourse and relief the Contractor is to have against these vendors in the case of performance short falls, schedule delays, warranty breaches, and so forth.  If Contractor’s performance, price and schedule guarantees, warranties, and other undertakings are to cover the Owner Supplier Equipment, then the Contractor needs to be given privity with, control over, and recourse against the Owner Supplier Equipment Vendors to the exclusion of the Owner and Construction Manager, including to press claims against and capture the financial flows (such as liquidated damages) payable by these vendors.  This is a material issue for the Contractor.  As it stands, Section 7.1.2 does not provide adequate relief for potential problems with the Owner Supplier Equipment contracts, which may have cost, schedule and performance impacts.</w:t>
      </w:r>
    </w:p>
    <w:p>
      <w:pPr>
        <w:pStyle w:val="Normal"/>
        <w:rPr/>
      </w:pPr>
      <w:r>
        <w:rPr/>
      </w:r>
    </w:p>
    <w:p>
      <w:pPr>
        <w:pStyle w:val="BodyTextIndent"/>
        <w:ind w:start="360" w:end="0"/>
        <w:rPr/>
      </w:pPr>
      <w:r>
        <w:rPr/>
        <w:t xml:space="preserve">The best, simplest way to do this from the Contractor’s perspective is to have the Owner Supplier Equipment contracts assigned to Contractor upon NTP (direct payment from the Owner to the vendors could still be arranged), otherwise either (a) produce an approximation of privity that allows the Contractor to direct and manage the Owner Supplier Equipment vendors to the exclusion of the Owner and Construction Manager, including regarding claims, liquidated damages, and economic benefits, or (b) carve the Owner Supplier Equipment out of the Contractor’s scope of work, performance guarantees, warranties and other liabilities.  Simply designating the Contractor as Owners agent for these purposes is not sufficient due to limitations on the ability of an agent to sue on the principals contract.  </w:t>
      </w:r>
    </w:p>
    <w:p>
      <w:pPr>
        <w:pStyle w:val="BodyTextIndent"/>
        <w:ind w:start="360" w:end="0"/>
        <w:rPr/>
      </w:pPr>
      <w:r>
        <w:rPr/>
      </w:r>
    </w:p>
    <w:p>
      <w:pPr>
        <w:pStyle w:val="BodyTextIndent"/>
        <w:numPr>
          <w:ilvl w:val="0"/>
          <w:numId w:val="3"/>
        </w:numPr>
        <w:tabs>
          <w:tab w:val="clear" w:pos="720"/>
          <w:tab w:val="left" w:pos="360" w:leader="none"/>
        </w:tabs>
        <w:ind w:hanging="360" w:start="360" w:end="0"/>
        <w:rPr/>
      </w:pPr>
      <w:r>
        <w:rPr>
          <w:b/>
          <w:bCs/>
          <w:u w:val="single"/>
        </w:rPr>
        <w:t>SUNSET DATE</w:t>
      </w:r>
      <w:r>
        <w:rPr/>
        <w:t>.  The contract needs to have a clear sunset date for all obligations of the Contractor, including for indemnification purposes, of two years after the end of the warranty period (except for any claims or liabilities subject to ongoing arbitration).</w:t>
      </w:r>
    </w:p>
    <w:p>
      <w:pPr>
        <w:pStyle w:val="BodyTextIndent"/>
        <w:ind w:start="0" w:end="0"/>
        <w:rPr/>
      </w:pPr>
      <w:r>
        <w:rPr/>
      </w:r>
    </w:p>
    <w:p>
      <w:pPr>
        <w:pStyle w:val="Normal"/>
        <w:numPr>
          <w:ilvl w:val="0"/>
          <w:numId w:val="3"/>
        </w:numPr>
        <w:tabs>
          <w:tab w:val="clear" w:pos="720"/>
          <w:tab w:val="left" w:pos="360" w:leader="none"/>
        </w:tabs>
        <w:ind w:hanging="360" w:start="360" w:end="0"/>
        <w:rPr/>
      </w:pPr>
      <w:r>
        <w:rPr>
          <w:b/>
          <w:bCs/>
          <w:u w:val="single"/>
        </w:rPr>
        <w:t>EXCLUSIVE REMEDIES CLAUSE</w:t>
      </w:r>
      <w:r>
        <w:rPr>
          <w:b/>
          <w:bCs/>
        </w:rPr>
        <w:t xml:space="preserve"> </w:t>
      </w:r>
      <w:r>
        <w:rPr/>
        <w:t xml:space="preserve">The contract lacks a clear overall statement that the remedies set forth in the contract are the exclusive remedies of the parties.  In addition, where specified, liquidated damages should be clearly designated at the exclusive remedies for the relevant breaches/failures, and the proviso at the beginning of the last sentence in Section 14.4 should be deleted. </w:t>
      </w:r>
    </w:p>
    <w:p>
      <w:pPr>
        <w:pStyle w:val="Normal"/>
        <w:rPr/>
      </w:pPr>
      <w:r>
        <w:rPr/>
      </w:r>
    </w:p>
    <w:p>
      <w:pPr>
        <w:pStyle w:val="Normal"/>
        <w:numPr>
          <w:ilvl w:val="0"/>
          <w:numId w:val="3"/>
        </w:numPr>
        <w:tabs>
          <w:tab w:val="clear" w:pos="720"/>
          <w:tab w:val="left" w:pos="360" w:leader="none"/>
        </w:tabs>
        <w:ind w:hanging="360" w:start="360" w:end="0"/>
        <w:rPr/>
      </w:pPr>
      <w:r>
        <w:rPr>
          <w:b/>
          <w:bCs/>
          <w:u w:val="single"/>
        </w:rPr>
        <w:t>PERMITTING</w:t>
      </w:r>
      <w:r>
        <w:rPr/>
        <w:t>.  Section 3.1.3 should   be revised to make clear that Contractor is not giving a blanket “wrap” of the Owner’s various permits, but that it will comply with the specific requirements (such as specific NOx or noise levels) listed in the exhibits or body of the contract.</w:t>
      </w:r>
    </w:p>
    <w:p>
      <w:pPr>
        <w:pStyle w:val="Normal"/>
        <w:rPr/>
      </w:pPr>
      <w:r>
        <w:rPr/>
        <w:t xml:space="preserve">  </w:t>
      </w:r>
    </w:p>
    <w:p>
      <w:pPr>
        <w:pStyle w:val="Normal"/>
        <w:numPr>
          <w:ilvl w:val="0"/>
          <w:numId w:val="3"/>
        </w:numPr>
        <w:tabs>
          <w:tab w:val="clear" w:pos="720"/>
          <w:tab w:val="left" w:pos="360" w:leader="none"/>
        </w:tabs>
        <w:ind w:hanging="360" w:start="360" w:end="0"/>
        <w:rPr/>
      </w:pPr>
      <w:r>
        <w:rPr>
          <w:b/>
          <w:bCs/>
          <w:u w:val="single"/>
        </w:rPr>
        <w:t>GROUND LEASE MATTERS</w:t>
      </w:r>
      <w:r>
        <w:rPr/>
        <w:t xml:space="preserve">.  Generally, site issues are Owner risk items.  Accordingly, Section 3.4.7 needs to be revised so that the Owner represents to the Contractor that the Owner’s Ground Lease (or any other land-use arrangement) provides unrestricted and exclusive access to the Contractor during the course of construction, that the construction activities contemplated by the Contract will not violate the Ground Lease or any applicable zoning or similar regulation.  If the Owner is concerned about potential violations, then the Contract should specify what actions if any the Contractor should not take, but the Contractor should not give a general wrap of the site arrangements. </w:t>
      </w:r>
    </w:p>
    <w:p>
      <w:pPr>
        <w:pStyle w:val="Normal"/>
        <w:rPr/>
      </w:pPr>
      <w:r>
        <w:rPr/>
      </w:r>
    </w:p>
    <w:p>
      <w:pPr>
        <w:pStyle w:val="Normal"/>
        <w:numPr>
          <w:ilvl w:val="0"/>
          <w:numId w:val="3"/>
        </w:numPr>
        <w:tabs>
          <w:tab w:val="clear" w:pos="720"/>
          <w:tab w:val="left" w:pos="360" w:leader="none"/>
        </w:tabs>
        <w:ind w:hanging="360" w:start="360" w:end="0"/>
        <w:rPr/>
      </w:pPr>
      <w:r>
        <w:rPr>
          <w:b/>
          <w:bCs/>
          <w:u w:val="single"/>
        </w:rPr>
        <w:t>LABOR RELATIONS (Section 3.44 and 3.4.6)</w:t>
      </w:r>
      <w:r>
        <w:rPr/>
        <w:t>.  These can only be agreed in the light of an adequate review of the labors agreements and circumstances for specific projects.  NEPCO’s general rule is to operate as a merit shop company and not become bound to project labor agreements or district labor agreements.</w:t>
      </w:r>
    </w:p>
    <w:p>
      <w:pPr>
        <w:pStyle w:val="Normal"/>
        <w:rPr/>
      </w:pPr>
      <w:r>
        <w:rPr/>
      </w:r>
    </w:p>
    <w:p>
      <w:pPr>
        <w:pStyle w:val="Normal"/>
        <w:numPr>
          <w:ilvl w:val="0"/>
          <w:numId w:val="3"/>
        </w:numPr>
        <w:tabs>
          <w:tab w:val="clear" w:pos="720"/>
          <w:tab w:val="left" w:pos="360" w:leader="none"/>
        </w:tabs>
        <w:ind w:hanging="360" w:start="360" w:end="0"/>
        <w:rPr>
          <w:b/>
          <w:bCs/>
          <w:u w:val="single"/>
        </w:rPr>
      </w:pPr>
      <w:r>
        <w:rPr>
          <w:b/>
          <w:bCs/>
          <w:u w:val="single"/>
        </w:rPr>
        <w:t>LIENS</w:t>
      </w:r>
      <w:r>
        <w:rPr/>
        <w:t>.  Contractor should not waive any rights to liens, or indemnify the owner against any liens, for unpaid amounts</w:t>
      </w:r>
      <w:r>
        <w:rPr>
          <w:i/>
          <w:iCs/>
        </w:rPr>
        <w:t>, including disputed amounts</w:t>
      </w:r>
      <w:r>
        <w:rPr/>
        <w:t>, when dealing with a limited recourse financed vehicle.  Contractor should provide lien waivers against payment for work, or settlement of disputes.</w:t>
      </w:r>
    </w:p>
    <w:p>
      <w:pPr>
        <w:pStyle w:val="Normal"/>
        <w:rPr>
          <w:b/>
          <w:bCs/>
          <w:u w:val="single"/>
        </w:rPr>
      </w:pPr>
      <w:r>
        <w:rPr>
          <w:b/>
          <w:bCs/>
          <w:u w:val="single"/>
        </w:rPr>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CHANGES</w:t>
      </w:r>
      <w:r>
        <w:rPr/>
        <w:t xml:space="preserve"> - There should be some basic bounds on Changes that the Owner can direct. These typically include that the Owner cannot direct changes that are not technically possible or that materially impact the Contractor’s ability to meet the performance guarantees or the specific performance guarantees.  Also, Article 6 needs a clear enabling clause that states that the Contractor </w:t>
      </w:r>
      <w:r>
        <w:rPr>
          <w:i/>
          <w:iCs/>
        </w:rPr>
        <w:t>shall be entitled</w:t>
      </w:r>
      <w:r>
        <w:rPr/>
        <w:t xml:space="preserve"> to relief if a Change occurs.</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INTELLECTUAL PROPERTY</w:t>
      </w:r>
      <w:r>
        <w:rPr/>
        <w:t>.  Some of the intellectual property obligations, license requirements, and representations in the Contract are unusually broad and will be difficult, and perhaps not possible, to obtain from subcontractors, equipment vendors, and software licensors.  In addition, Contractor’s proprietary information will not be sold to Owner, nor will rights to expand the present facility or build another facility be conveyed.  All relevant sections (e.g. Sections 8.1.3, 20.5, and 20.6) need to be reviewed in more detail and appropriately revised and limited.</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COMPLETION GUARANTEE AND DELAY LD’s</w:t>
      </w:r>
      <w:r>
        <w:rPr/>
        <w:t xml:space="preserve"> – In Section 13.1, adjustments should be made, and Contractor should not be obligated to accelerate at its own cost, in connection with all Changes, not just Force Majeure and Owner Delay.  In Section 13.3, the crediting of insurance against delay LD’s should be reinstated.</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SITE INVESTIGATION ASSUMPTIONS</w:t>
      </w:r>
      <w:r>
        <w:rPr/>
        <w:t>.  The contract clearly anticipates that there will be a schedule of assumptions regarding the Site, including its geotechnical characteristics.  Sections 15.1.6 and 17.2 (c) should be revised to carve out these assumptions, since otherwise they would “back-door” basis on which the Contractor specified the Contract Price.</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TERMINATION EVENTS</w:t>
      </w:r>
      <w:r>
        <w:rPr/>
        <w:t>.  Contractor should be given a chance to cure the defaults listed at Section 16.1.2.1 and 16.1.2.11.  Section 16.1.2.1 must also have a material impact on the Owner to give rise to a termination right.  Contractor should also have the right to terminate for Owner abandonment.</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TERMINATION PAYMENT OBLIGATIONS</w:t>
      </w:r>
      <w:r>
        <w:rPr/>
        <w:t>.  Some particulars of Sections 16.1.4, 16.2.1.3,  16.2.2.1 need to be discussed.</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FORCE MAJEURE CLARIFICATIONS</w:t>
      </w:r>
      <w:r>
        <w:rPr/>
        <w:t>. Re the note of conforming to financing documents, we think that as drafted these provisions would be generally acceptable with some minor clarifications, and that provisions that are more restrictive would not be acceptable.  Please note the following at this point:</w:t>
      </w:r>
    </w:p>
    <w:p>
      <w:pPr>
        <w:pStyle w:val="Normal"/>
        <w:rPr>
          <w:b/>
          <w:bCs/>
          <w:u w:val="single"/>
        </w:rPr>
      </w:pPr>
      <w:r>
        <w:rPr>
          <w:b/>
          <w:bCs/>
          <w:u w:val="single"/>
        </w:rPr>
      </w:r>
    </w:p>
    <w:p>
      <w:pPr>
        <w:pStyle w:val="Normal"/>
        <w:numPr>
          <w:ilvl w:val="1"/>
          <w:numId w:val="3"/>
        </w:numPr>
        <w:tabs>
          <w:tab w:val="clear" w:pos="720"/>
          <w:tab w:val="left" w:pos="1080" w:leader="none"/>
        </w:tabs>
        <w:ind w:hanging="360" w:start="1080" w:end="0"/>
        <w:rPr/>
      </w:pPr>
      <w:r>
        <w:rPr/>
        <w:t>17.2 – the event need only hinder or increase the cost of performance or ability to perform, not entirely prevent the performance, to be force majeure</w:t>
      </w:r>
    </w:p>
    <w:p>
      <w:pPr>
        <w:pStyle w:val="Normal"/>
        <w:numPr>
          <w:ilvl w:val="1"/>
          <w:numId w:val="3"/>
        </w:numPr>
        <w:tabs>
          <w:tab w:val="clear" w:pos="720"/>
          <w:tab w:val="left" w:pos="1080" w:leader="none"/>
        </w:tabs>
        <w:ind w:hanging="360" w:start="1080" w:end="0"/>
        <w:rPr/>
      </w:pPr>
      <w:r>
        <w:rPr/>
        <w:t>17.5 (c) – make the reference to foreseeable unsuitable ground conditions subject to the Site Assumptions to be agreed to avoid  “back-dooring” the Site Assumptions, risk and pricing arrangements.</w:t>
      </w:r>
    </w:p>
    <w:p>
      <w:pPr>
        <w:pStyle w:val="Normal"/>
        <w:numPr>
          <w:ilvl w:val="1"/>
          <w:numId w:val="3"/>
        </w:numPr>
        <w:tabs>
          <w:tab w:val="clear" w:pos="720"/>
          <w:tab w:val="left" w:pos="1080" w:leader="none"/>
        </w:tabs>
        <w:ind w:hanging="360" w:start="1080" w:end="0"/>
        <w:rPr/>
      </w:pPr>
      <w:r>
        <w:rPr/>
        <w:t>Clarify that while Owner gets force majeure relief in a proper case and so is relieved of an obligation to perform and is not in breach, Contractor is still entitled to a Change for cost and schedule impact of the Owner Delay or force majeure experienced by the Owner.</w:t>
      </w:r>
    </w:p>
    <w:p>
      <w:pPr>
        <w:pStyle w:val="Normal"/>
        <w:rPr/>
      </w:pPr>
      <w:r>
        <w:rPr/>
      </w:r>
    </w:p>
    <w:p>
      <w:pPr>
        <w:pStyle w:val="Normal"/>
        <w:numPr>
          <w:ilvl w:val="0"/>
          <w:numId w:val="3"/>
        </w:numPr>
        <w:tabs>
          <w:tab w:val="clear" w:pos="720"/>
          <w:tab w:val="left" w:pos="360" w:leader="none"/>
        </w:tabs>
        <w:ind w:hanging="360" w:start="360" w:end="0"/>
        <w:rPr>
          <w:b/>
          <w:bCs/>
          <w:u w:val="single"/>
        </w:rPr>
      </w:pPr>
      <w:r>
        <w:rPr>
          <w:b/>
          <w:bCs/>
          <w:u w:val="single"/>
        </w:rPr>
        <w:t>CONTRACTOR INDEMNITY</w:t>
      </w:r>
      <w:r>
        <w:rPr/>
        <w:t xml:space="preserve"> Contractor indemnity obligation under clause 18.1 (b) needs to be limited to third party death, injury and property damage.  Contractor indemnity against liens under clause 18.1 (a) must clearly be subject to Contractor’s right to lien the Facility for all unpaid amounts.</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t xml:space="preserve"> </w:t>
      </w:r>
      <w:r>
        <w:rPr>
          <w:b/>
          <w:bCs/>
          <w:u w:val="single"/>
        </w:rPr>
        <w:t>OWNER INDEMNITY</w:t>
      </w:r>
      <w:r>
        <w:rPr/>
        <w:t xml:space="preserve">  Owner’s indemnity under clause 18.2 needs to include an indemnity with respect to Hazardous Materials for which the Owner is responsible under Section 3.18.1 and Owner use of drawings and intellectual property provided by Contractor that is not in compliance with the terms of the grant to the owner as expressed in the contract, or for use on other facilities or expansions of the facility.</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rPr>
      </w:pPr>
      <w:r>
        <w:rPr>
          <w:b/>
          <w:bCs/>
          <w:u w:val="single"/>
        </w:rPr>
        <w:t>IDEMNITOR CONTROL OF PROCEEDINGS</w:t>
      </w:r>
      <w:r>
        <w:rPr/>
        <w:t>.  In Section 18.6, clarify that the indemnitor controls settlements as well.</w:t>
      </w:r>
    </w:p>
    <w:p>
      <w:pPr>
        <w:pStyle w:val="Normal"/>
        <w:rPr>
          <w:b/>
          <w:bCs/>
        </w:rPr>
      </w:pPr>
      <w:r>
        <w:rPr>
          <w:b/>
          <w:bCs/>
        </w:rPr>
      </w:r>
    </w:p>
    <w:p>
      <w:pPr>
        <w:pStyle w:val="Normal"/>
        <w:numPr>
          <w:ilvl w:val="0"/>
          <w:numId w:val="3"/>
        </w:numPr>
        <w:tabs>
          <w:tab w:val="clear" w:pos="720"/>
          <w:tab w:val="left" w:pos="360" w:leader="none"/>
        </w:tabs>
        <w:ind w:hanging="360" w:start="360" w:end="0"/>
        <w:rPr>
          <w:b/>
          <w:bCs/>
        </w:rPr>
      </w:pPr>
      <w:r>
        <w:rPr>
          <w:b/>
          <w:bCs/>
          <w:u w:val="single"/>
        </w:rPr>
        <w:t>DISPUTE RESOLUTION</w:t>
      </w:r>
      <w:r>
        <w:rPr/>
        <w:t xml:space="preserve">. </w:t>
      </w:r>
    </w:p>
    <w:p>
      <w:pPr>
        <w:pStyle w:val="Normal"/>
        <w:rPr>
          <w:b/>
          <w:bCs/>
        </w:rPr>
      </w:pPr>
      <w:r>
        <w:rPr>
          <w:b/>
          <w:bCs/>
        </w:rPr>
      </w:r>
    </w:p>
    <w:p>
      <w:pPr>
        <w:pStyle w:val="Normal"/>
        <w:ind w:start="720" w:end="0"/>
        <w:rPr>
          <w:b/>
          <w:bCs/>
        </w:rPr>
      </w:pPr>
      <w:r>
        <w:rPr/>
        <w:t>a.</w:t>
        <w:tab/>
        <w:t>Section 19.1.1 needs to state that (a) if the parties can resolve the dispute in 30 days, then “</w:t>
      </w:r>
      <w:r>
        <w:rPr>
          <w:i/>
          <w:iCs/>
        </w:rPr>
        <w:t>either party may refer the dispute to a meeting of senior management for resolution, in which case</w:t>
      </w:r>
      <w:r>
        <w:rPr/>
        <w:t xml:space="preserve"> each party shall nominate” and (b) that if the senior managers cannot resolve the dispute with15 days after their meeting then “</w:t>
      </w:r>
      <w:r>
        <w:rPr>
          <w:i/>
          <w:iCs/>
        </w:rPr>
        <w:t>either party shall be entitled at any time to refer to</w:t>
      </w:r>
      <w:r>
        <w:rPr/>
        <w:t xml:space="preserve"> dispute to arbitration under Section 19.2. </w:t>
      </w:r>
    </w:p>
    <w:p>
      <w:pPr>
        <w:pStyle w:val="Normal"/>
        <w:ind w:start="720" w:end="0"/>
        <w:rPr>
          <w:b/>
          <w:bCs/>
        </w:rPr>
      </w:pPr>
      <w:r>
        <w:rPr/>
        <w:t>b.</w:t>
        <w:tab/>
        <w:t>Please clarify the intended result of Section 19.1.2</w:t>
      </w:r>
    </w:p>
    <w:p>
      <w:pPr>
        <w:pStyle w:val="Normal"/>
        <w:ind w:start="720" w:end="0"/>
        <w:rPr>
          <w:b/>
          <w:bCs/>
        </w:rPr>
      </w:pPr>
      <w:r>
        <w:rPr/>
        <w:t>In light of the preceding point, the first sentence of Section 19.1.3 should be revised to say that all disputes that are not settled under Section 19.1.1 shall be “</w:t>
      </w:r>
      <w:r>
        <w:rPr>
          <w:i/>
          <w:iCs/>
        </w:rPr>
        <w:t>exclusively and finally</w:t>
      </w:r>
      <w:r>
        <w:rPr/>
        <w:t xml:space="preserve"> resolved by arbitration . . .”</w:t>
      </w:r>
    </w:p>
    <w:p>
      <w:pPr>
        <w:pStyle w:val="Normal"/>
        <w:ind w:start="720" w:end="0"/>
        <w:rPr>
          <w:b/>
          <w:bCs/>
          <w:u w:val="single"/>
        </w:rPr>
      </w:pPr>
      <w:r>
        <w:rPr/>
        <w:t>c.</w:t>
        <w:tab/>
        <w:t>We strongly prefer that Section 19.1.3 call for arbitration before three neutral AAA arbitrators, not one, to reduce the risk of a rogue arbitrator and irrational result.  In addition, using a single arbitrator in Section 19.1.3 would make the separate Fast Track procedure in Section 19.2 essentially redundant.  We suggest deleting Section 19.2, or at least (a) calling for three arbitrators in Section 19.1.3 and (b) allowing the 19.2 Fast Track arbitrator and alternate to be specified at any time after NTP, since parties almost always fail to specify the Fast Track Arbitrator within the designated times.</w:t>
      </w:r>
    </w:p>
    <w:p>
      <w:pPr>
        <w:pStyle w:val="Normal"/>
        <w:ind w:start="720" w:end="0"/>
        <w:rPr/>
      </w:pPr>
      <w:r>
        <w:rPr/>
        <w:t>d.</w:t>
        <w:tab/>
        <w:t>Section 19.3 needs to be clarified to state the arbitrators also cannot award specific or consequential damages.  The limitation of the arbitrators ability toward damages against the Construction Manager needs to be completely deleted, since the Contractor needs a party is fully on the hook for the Owner’s performance under the Contract.  The Construction Manager should deal with his damage exposure by way of a separate indemnification agreement with the Owner.  Since the Owner is the real party at interest in this dispute, the Owner needs to execute the contract and be a party to the arbitration.</w:t>
      </w:r>
    </w:p>
    <w:p>
      <w:pPr>
        <w:pStyle w:val="Normal"/>
        <w:ind w:start="720" w:end="0"/>
        <w:rPr/>
      </w:pPr>
      <w:r>
        <w:rPr/>
        <w:t>e.</w:t>
        <w:tab/>
        <w:t>Section 19.5 should be deleted as impracticable and unhelpful.  The Owner Supplier Equipment vendors, who are the real major subcontractors with whom consolidation would not only make sense but also be a material benefit, are carved out of this provision.  There will be little utility in requiring the remaining, smaller vendors to consolidate, and it is very unlikely that they would agree to do so.  If there is to be consolidation, then the Contractor will have an interest in requiring consolidate and should have an option to do so.</w:t>
      </w:r>
    </w:p>
    <w:p>
      <w:pPr>
        <w:pStyle w:val="Normal"/>
        <w:ind w:start="720" w:end="0"/>
        <w:rPr/>
      </w:pPr>
      <w:r>
        <w:rPr/>
      </w:r>
    </w:p>
    <w:p>
      <w:pPr>
        <w:pStyle w:val="Normal"/>
        <w:numPr>
          <w:ilvl w:val="0"/>
          <w:numId w:val="3"/>
        </w:numPr>
        <w:tabs>
          <w:tab w:val="clear" w:pos="720"/>
          <w:tab w:val="left" w:pos="360" w:leader="none"/>
        </w:tabs>
        <w:ind w:hanging="360" w:start="360" w:end="0"/>
        <w:rPr>
          <w:b/>
          <w:bCs/>
          <w:u w:val="single"/>
        </w:rPr>
      </w:pPr>
      <w:r>
        <w:rPr>
          <w:b/>
          <w:bCs/>
          <w:u w:val="single"/>
        </w:rPr>
        <w:t>INSURANCE</w:t>
      </w:r>
      <w:r>
        <w:rPr/>
        <w:t>.  Re Section 9.1.1, Contractor should only keep the Coverage until Substantial Completion or Final Completion, not all the way through the warranty period.  Contractor needs right to approve and co-broke Owner insurance.</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COMPLETION MECHANISM</w:t>
      </w:r>
      <w:r>
        <w:rPr/>
        <w:t>.  NEPCO needs to conduct a technical review o the requirements for Mechanical and Substantial Completion.  In this connection, however please not the following:</w:t>
      </w:r>
    </w:p>
    <w:p>
      <w:pPr>
        <w:pStyle w:val="Normal"/>
        <w:rPr>
          <w:b/>
          <w:bCs/>
          <w:u w:val="single"/>
        </w:rPr>
      </w:pPr>
      <w:r>
        <w:rPr>
          <w:b/>
          <w:bCs/>
          <w:u w:val="single"/>
        </w:rPr>
      </w:r>
    </w:p>
    <w:p>
      <w:pPr>
        <w:pStyle w:val="Normal"/>
        <w:ind w:start="720" w:end="0"/>
        <w:rPr>
          <w:b/>
          <w:bCs/>
          <w:u w:val="single"/>
        </w:rPr>
      </w:pPr>
      <w:r>
        <w:rPr/>
        <w:t>a.</w:t>
        <w:tab/>
      </w:r>
      <w:r>
        <w:rPr>
          <w:u w:val="single"/>
        </w:rPr>
        <w:t>Functional Testing.</w:t>
      </w:r>
      <w:r>
        <w:rPr/>
        <w:t xml:space="preserve"> This step is redundant to Mechanical Completion and tests for Substantial Completion, and should be eliminated.  Section 11.1.2</w:t>
      </w:r>
    </w:p>
    <w:p>
      <w:pPr>
        <w:pStyle w:val="Normal"/>
        <w:numPr>
          <w:ilvl w:val="0"/>
          <w:numId w:val="2"/>
        </w:numPr>
        <w:ind w:hanging="0" w:start="720" w:end="0"/>
        <w:rPr/>
      </w:pPr>
      <w:r>
        <w:rPr>
          <w:u w:val="single"/>
        </w:rPr>
        <w:t>Reliability Test</w:t>
      </w:r>
      <w:r>
        <w:rPr/>
        <w:t>.  If a Reliability Test is agreed, it should not be a condition to Substantial Completion or a Specific Performance Obligation.</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pPr>
      <w:r>
        <w:rPr>
          <w:b/>
          <w:bCs/>
          <w:u w:val="single"/>
        </w:rPr>
        <w:t>OWNER OCCUPANCY PRIOR TO SUBSTANTIAL COMPLETION</w:t>
      </w:r>
      <w:r>
        <w:rPr/>
        <w:t>.  (Section 8.3)  This should be deleted, since it detracts from timely completion of the overall facility and confuses risk of loss, care custody and control, and similar issues.</w:t>
      </w:r>
    </w:p>
    <w:p>
      <w:pPr>
        <w:pStyle w:val="Normal"/>
        <w:rPr/>
      </w:pPr>
      <w:r>
        <w:rPr/>
      </w:r>
    </w:p>
    <w:p>
      <w:pPr>
        <w:pStyle w:val="Normal"/>
        <w:numPr>
          <w:ilvl w:val="0"/>
          <w:numId w:val="3"/>
        </w:numPr>
        <w:tabs>
          <w:tab w:val="clear" w:pos="720"/>
          <w:tab w:val="left" w:pos="360" w:leader="none"/>
        </w:tabs>
        <w:ind w:hanging="360" w:start="360" w:end="0"/>
        <w:rPr>
          <w:b/>
          <w:bCs/>
          <w:u w:val="single"/>
        </w:rPr>
      </w:pPr>
      <w:r>
        <w:rPr>
          <w:b/>
          <w:bCs/>
          <w:u w:val="single"/>
        </w:rPr>
        <w:t>GUARANTEE IN LIEU OF L/C</w:t>
      </w:r>
      <w:r>
        <w:rPr/>
        <w:t>.  Contractor should be able to post an Enron Corp. guarantee in lieu of a letter of credit for retainage or warranty obligations.</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WITHOLDING OF PAYMENTS</w:t>
      </w:r>
      <w:r>
        <w:rPr/>
        <w:t>.  Section 7.4(c), the second clause relating to contractor action that excuses insurer for coverage is unreasonable and needs to be deleted.</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CONVERSION TO LUMP SUM</w:t>
      </w:r>
      <w:r>
        <w:rPr/>
        <w:t>.  Delete, impracticable and distracting once NTP is given.</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PROJECT MANUAL</w:t>
      </w:r>
      <w:r>
        <w:rPr/>
        <w:t xml:space="preserve"> – Execution plan documents such the Project Manual called for in Section 10.2 are usually finalized before the execution of the Contract and then attached as an agreed exhibit.  If it cannot be agreed and attached prior to the execution of the Contract, then NEPCO will produce the document and provide a copy for Owner information purposes, but not for approval and agreement due to the need to get on with the execution of the project and avoid schedule impacts.</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SAFETY/DRUG AND ALCOHOL POLICIES</w:t>
      </w:r>
      <w:r>
        <w:rPr/>
        <w:t>. NEPCO will provide its own policies, which are more focused on construction and which tend to be more strict than the usual Enron policies.  Sections 3.8.4 and Section 3.8.5 need to be revised to this effect.</w:t>
      </w:r>
    </w:p>
    <w:p>
      <w:pPr>
        <w:pStyle w:val="Normal"/>
        <w:numPr>
          <w:ilvl w:val="0"/>
          <w:numId w:val="3"/>
        </w:numPr>
        <w:tabs>
          <w:tab w:val="clear" w:pos="720"/>
          <w:tab w:val="left" w:pos="360" w:leader="none"/>
        </w:tabs>
        <w:ind w:hanging="360" w:start="360" w:end="0"/>
        <w:rPr>
          <w:b/>
          <w:bCs/>
          <w:u w:val="single"/>
        </w:rPr>
      </w:pPr>
      <w:r>
        <w:rPr>
          <w:b/>
          <w:bCs/>
          <w:u w:val="single"/>
        </w:rPr>
        <w:t>SPARES</w:t>
      </w:r>
      <w:r>
        <w:rPr/>
        <w:t>.  As a rule, NEPCO does not procure owners stock of spares or price then into the Contract Price.  If spares are needed in commissioning and start-up, NEPCO should have the right to draw them from the Owner’s stock and the obligation to replace them as a Punchlist Item.  Section 3.2.3 should be revised accordingly.</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DESIGN REQUIREMENTS</w:t>
      </w:r>
      <w:r>
        <w:rPr/>
        <w:t>. NEPCO needs to conduct a technical review of the various warranties as to design.  In particular, NEPCO generally does not warrant that a facility will be designed to be operated by a specific number and type of operational personal, so the last sentence of Section 3.1.1 should be deleted.</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b/>
          <w:bCs/>
          <w:u w:val="single"/>
        </w:rPr>
      </w:pPr>
      <w:r>
        <w:rPr>
          <w:b/>
          <w:bCs/>
          <w:u w:val="single"/>
        </w:rPr>
        <w:t>COOPERATION AND NON-INTERFERENCE</w:t>
      </w:r>
      <w:r>
        <w:rPr/>
        <w:t>.  As this contract is intended to cover the construction of the entire power plant on a guaranteed price and schedule, requiring the Contractor to accommodate with any out-of-scope contractors engaged by the Owner so that they can complete their works is an inappropriate prioritization of work.  In addition, it conflicts with the Owner obligation to provide the Contractor with unrestricted access to the site.  Instead, Section 3.16 should be revised to state that the out-of-scope Contractors should be required to coordinate and accommodate the Contractor’s schedule and that any impact to the Contractor will constitute Owner Delay for which the Contractor is entitled to cost and schedule relief.</w:t>
      </w:r>
    </w:p>
    <w:p>
      <w:pPr>
        <w:pStyle w:val="Normal"/>
        <w:rPr>
          <w:b/>
          <w:bCs/>
          <w:u w:val="single"/>
        </w:rPr>
      </w:pPr>
      <w:r>
        <w:rPr>
          <w:b/>
          <w:bCs/>
          <w:u w:val="single"/>
        </w:rPr>
      </w:r>
    </w:p>
    <w:p>
      <w:pPr>
        <w:pStyle w:val="Normal"/>
        <w:numPr>
          <w:ilvl w:val="0"/>
          <w:numId w:val="3"/>
        </w:numPr>
        <w:tabs>
          <w:tab w:val="clear" w:pos="720"/>
          <w:tab w:val="left" w:pos="360" w:leader="none"/>
        </w:tabs>
        <w:ind w:hanging="360" w:start="360" w:end="0"/>
        <w:rPr/>
      </w:pPr>
      <w:r>
        <w:rPr>
          <w:b/>
          <w:bCs/>
          <w:u w:val="single"/>
        </w:rPr>
        <w:t>NOTICES OF SHIPMENT</w:t>
      </w:r>
      <w:r>
        <w:rPr/>
        <w:t xml:space="preserve">.  NEPCO does not usually accept statements confessing potential impacts and liabilities, and such statements need to be deleted throughout the Contract.  For example, the first sentence of Section 3.22.4 re impact on insurance program needs to be deleted. </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abstractNum w:abstractNumId="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2000-11-28T00:03:00Z</dcterms:created>
  <dc:creator>John Schwartzenburg</dc:creator>
  <dc:description/>
  <dc:language>en-CA</dc:language>
  <cp:lastModifiedBy>John Schwartzenburg</cp:lastModifiedBy>
  <dcterms:modified xsi:type="dcterms:W3CDTF">2000-11-28T00:03:00Z</dcterms:modified>
  <cp:revision>2</cp:revision>
  <dc:subject/>
  <dc:title>TURBO PARK</dc:title>
</cp:coreProperties>
</file>