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2.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0"/>
        <w:ind w:hanging="0" w:start="0"/>
        <w:jc w:val="both"/>
        <w:rPr/>
      </w:pPr>
      <w:r>
        <w:rPr/>
      </w:r>
    </w:p>
    <w:p>
      <w:pPr>
        <w:pStyle w:val="Heading1"/>
        <w:ind w:hanging="0" w:start="0"/>
        <w:rPr/>
      </w:pPr>
      <w:r>
        <w:rPr/>
        <w:t>Immediate Sale of  2 x ABB GT11N Gas Turbines</w:t>
      </w:r>
    </w:p>
    <w:p>
      <w:pPr>
        <w:pStyle w:val="Normal"/>
        <w:rPr>
          <w:sz w:val="22"/>
        </w:rPr>
      </w:pPr>
      <w:r>
        <w:rPr>
          <w:sz w:val="22"/>
        </w:rPr>
      </w:r>
    </w:p>
    <w:p>
      <w:pPr>
        <w:pStyle w:val="Normal"/>
        <w:jc w:val="both"/>
        <w:rPr>
          <w:sz w:val="22"/>
        </w:rPr>
      </w:pPr>
      <w:r>
        <w:rPr>
          <w:sz w:val="22"/>
        </w:rPr>
        <w:t>Enron Canada Corp. (Enron) has available in Eastern Canada two (2) used ABB GT11N units for immediate delivery on an AS IS, WHERE IS basis, WITH ALL FAULTS OF ALL AND ANY KIND WHATSOEVER:</w:t>
      </w:r>
    </w:p>
    <w:p>
      <w:pPr>
        <w:pStyle w:val="Normal"/>
        <w:jc w:val="both"/>
        <w:rPr>
          <w:sz w:val="22"/>
        </w:rPr>
      </w:pPr>
      <w:r>
        <w:rPr>
          <w:sz w:val="22"/>
        </w:rPr>
      </w:r>
    </w:p>
    <w:p>
      <w:pPr>
        <w:pStyle w:val="Normal"/>
        <w:jc w:val="both"/>
        <w:rPr>
          <w:sz w:val="22"/>
        </w:rPr>
      </w:pPr>
      <w:r>
        <w:rPr>
          <w:sz w:val="22"/>
        </w:rPr>
        <w:t>1.</w:t>
        <w:tab/>
        <w:t>1991 vintage, originally fuel oil fired;</w:t>
      </w:r>
    </w:p>
    <w:p>
      <w:pPr>
        <w:pStyle w:val="BodyText"/>
        <w:numPr>
          <w:ilvl w:val="0"/>
          <w:numId w:val="2"/>
        </w:numPr>
        <w:rPr/>
      </w:pPr>
      <w:r>
        <w:rPr/>
        <w:t>Excellent condition, with 500 actual operating hours, and 5,000 equivalent operating hours.  Enron Engineering and Construction Company and ABB conducted technical due diligence at the time of purchase by Enron, including a boroscopic inspection and full load test and found no issues;</w:t>
      </w:r>
    </w:p>
    <w:p>
      <w:pPr>
        <w:pStyle w:val="BodyTextIndent"/>
        <w:numPr>
          <w:ilvl w:val="0"/>
          <w:numId w:val="2"/>
        </w:numPr>
        <w:rPr/>
      </w:pPr>
      <w:r>
        <w:rPr/>
        <w:t>Since Enron purchased the units, the previous owner has maintained and preserved the units according to OEM recommendations under agreement with Enron;</w:t>
      </w:r>
    </w:p>
    <w:p>
      <w:pPr>
        <w:pStyle w:val="BodyTextIndent2"/>
        <w:numPr>
          <w:ilvl w:val="0"/>
          <w:numId w:val="2"/>
        </w:numPr>
        <w:rPr/>
      </w:pPr>
      <w:r>
        <w:rPr/>
        <w:t>Enron has contracted with Power Systems Manufacturing (“PSM”) for conversion of the units to a dry low emissions natural gas combustion system guaranteed for 25 PPM NOx.  This work is underway and will be completed early in 2001.  Based on PSM’s current assessment, the actual NOx emissions will be significantly lower than 25 PPM.  As part of the fuel conversion the units will have a new PLC control system and a warranty on the fuel combustion system and controls;</w:t>
      </w:r>
    </w:p>
    <w:p>
      <w:pPr>
        <w:pStyle w:val="BodyText"/>
        <w:numPr>
          <w:ilvl w:val="0"/>
          <w:numId w:val="2"/>
        </w:numPr>
        <w:rPr/>
      </w:pPr>
      <w:r>
        <w:rPr/>
        <w:t xml:space="preserve">Spare parts from the fuel conversion will be available to the new owner for potential sale in its discretion.  These parts may consist of the top ½ of the combustor, fuel nozzles, ignitors, water injection nozzles, fuel forwarding pumps and ABB control systems. </w:t>
      </w:r>
    </w:p>
    <w:p>
      <w:pPr>
        <w:pStyle w:val="BodyText"/>
        <w:numPr>
          <w:ilvl w:val="0"/>
          <w:numId w:val="2"/>
        </w:numPr>
        <w:rPr/>
      </w:pPr>
      <w:r>
        <w:rPr/>
        <w:t>The combustion turbines are part of a complete power plant and include self cleaning inlet filters, exhaust stack, expansion joint and silencers, 230 kV switchyard including transformers, starting devices, generator and utility protection, and heated ventilated enclosures with fire protection;</w:t>
      </w:r>
    </w:p>
    <w:p>
      <w:pPr>
        <w:pStyle w:val="BodyTextIndent3"/>
        <w:numPr>
          <w:ilvl w:val="0"/>
          <w:numId w:val="2"/>
        </w:numPr>
        <w:rPr/>
      </w:pPr>
      <w:r>
        <w:rPr/>
        <w:t>The units are available in Millbank, New Brunswick, Canada.  The buyer will be responsible for disassembly, transportation and re-erection at their new location and all associated costs therewith;</w:t>
      </w:r>
    </w:p>
    <w:p>
      <w:pPr>
        <w:pStyle w:val="BodyTextIndent3"/>
        <w:numPr>
          <w:ilvl w:val="0"/>
          <w:numId w:val="2"/>
        </w:numPr>
        <w:rPr/>
      </w:pPr>
      <w:r>
        <w:rPr/>
        <w:t>Noise analyses are available on the turbines and associated equipment, under fuel oil firing and water injection.</w:t>
      </w:r>
    </w:p>
    <w:p>
      <w:pPr>
        <w:pStyle w:val="BodyTextIndent3"/>
        <w:ind w:hanging="0" w:start="0" w:end="0"/>
        <w:rPr>
          <w:rFonts w:eastAsia="Arial"/>
        </w:rPr>
      </w:pPr>
      <w:r>
        <w:rPr>
          <w:rFonts w:eastAsia="Arial"/>
        </w:rPr>
        <w:t xml:space="preserve">  </w:t>
      </w:r>
    </w:p>
    <w:p>
      <w:pPr>
        <w:pStyle w:val="Normal"/>
        <w:rPr>
          <w:sz w:val="22"/>
        </w:rPr>
      </w:pPr>
      <w:r>
        <w:rPr>
          <w:sz w:val="22"/>
        </w:rPr>
      </w:r>
    </w:p>
    <w:p>
      <w:pPr>
        <w:pStyle w:val="Normal"/>
        <w:rPr>
          <w:sz w:val="22"/>
        </w:rPr>
      </w:pPr>
      <w:r>
        <w:rPr>
          <w:sz w:val="22"/>
        </w:rPr>
      </w:r>
    </w:p>
    <w:p>
      <w:pPr>
        <w:pStyle w:val="Normal"/>
        <w:rPr>
          <w:sz w:val="22"/>
        </w:rPr>
      </w:pPr>
      <w:r>
        <w:rPr>
          <w:sz w:val="22"/>
        </w:rPr>
        <w:t>Attachments: Scope of supply, site photograph</w:t>
      </w:r>
    </w:p>
    <w:p>
      <w:pPr>
        <w:pStyle w:val="Normal"/>
        <w:rPr>
          <w:sz w:val="22"/>
        </w:rPr>
      </w:pPr>
      <w:r>
        <w:rPr>
          <w:sz w:val="22"/>
        </w:rPr>
      </w:r>
    </w:p>
    <w:p>
      <w:pPr>
        <w:pStyle w:val="Normal"/>
        <w:spacing w:lineRule="atLeast" w:line="240"/>
        <w:rPr>
          <w:rFonts w:ascii="Helv" w:hAnsi="Helv" w:cs="Helv"/>
          <w:b/>
          <w:color w:val="000000"/>
          <w:lang w:eastAsia="en-US"/>
        </w:rPr>
      </w:pPr>
      <w:r>
        <w:rPr>
          <w:rFonts w:cs="Helv" w:ascii="Helv" w:hAnsi="Helv"/>
          <w:b/>
          <w:color w:val="000000"/>
          <w:lang w:eastAsia="en-US"/>
        </w:rPr>
        <w:t>This turbine sale profile is for discussion purposes only.  The description and any commercial terms referred to in this turbine sale profile are indicative only and are subject to revision.  This turbine sale profile does not, and is not intended to, create an offer for acceptance, an agreement between the parties, an obligation to negotiate, or other binding obligation, and no party may assert (and expressly releases) any claim or allegation that any such binding obligation exists.</w:t>
      </w:r>
    </w:p>
    <w:p>
      <w:pPr>
        <w:pStyle w:val="Normal"/>
        <w:rPr>
          <w:rFonts w:ascii="Helv" w:hAnsi="Helv" w:cs="Helv"/>
          <w:b/>
          <w:color w:val="000000"/>
          <w:lang w:eastAsia="en-US"/>
        </w:rPr>
      </w:pPr>
      <w:r>
        <w:rPr>
          <w:rFonts w:cs="Helv" w:ascii="Helv" w:hAnsi="Helv"/>
          <w:b/>
          <w:color w:val="000000"/>
          <w:lang w:eastAsia="en-US"/>
        </w:rPr>
      </w:r>
      <w:r>
        <w:br w:type="page"/>
      </w:r>
    </w:p>
    <w:p>
      <w:pPr>
        <w:pStyle w:val="Normal"/>
        <w:jc w:val="center"/>
        <w:rPr>
          <w:b/>
        </w:rPr>
      </w:pPr>
      <w:r>
        <w:rPr>
          <w:b/>
        </w:rPr>
      </w:r>
    </w:p>
    <w:p>
      <w:pPr>
        <w:pStyle w:val="BodyText2"/>
        <w:rPr/>
      </w:pPr>
      <w:r>
        <w:rPr/>
        <w:t>The property to be transferred as part of this Purchase Agreement is two (2) complete ABB 11N gas turbines including the following individual items:</w:t>
      </w:r>
    </w:p>
    <w:p>
      <w:pPr>
        <w:pStyle w:val="Normal"/>
        <w:rPr/>
      </w:pPr>
      <w:r>
        <w:rPr/>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Normal"/>
        <w:numPr>
          <w:ilvl w:val="0"/>
          <w:numId w:val="3"/>
        </w:numPr>
        <w:rPr>
          <w:rFonts w:ascii="Times New Roman" w:hAnsi="Times New Roman" w:cs="Times New Roman"/>
        </w:rPr>
      </w:pPr>
      <w:r>
        <w:rPr>
          <w:rFonts w:cs="Times New Roman" w:ascii="Times New Roman" w:hAnsi="Times New Roman"/>
        </w:rPr>
        <w:t>GAS TURBINE BLOW OFF SILENCER ADDER</w:t>
      </w:r>
    </w:p>
    <w:p>
      <w:pPr>
        <w:pStyle w:val="Normal"/>
        <w:numPr>
          <w:ilvl w:val="0"/>
          <w:numId w:val="3"/>
        </w:numPr>
        <w:rPr>
          <w:rFonts w:ascii="Times New Roman" w:hAnsi="Times New Roman" w:cs="Times New Roman"/>
        </w:rPr>
      </w:pPr>
      <w:r>
        <w:rPr>
          <w:rFonts w:cs="Times New Roman" w:ascii="Times New Roman" w:hAnsi="Times New Roman"/>
        </w:rPr>
        <w:t>GAS TURBINE AIR INTAKE MANIFOLD</w:t>
      </w:r>
    </w:p>
    <w:p>
      <w:pPr>
        <w:pStyle w:val="Normal"/>
        <w:numPr>
          <w:ilvl w:val="0"/>
          <w:numId w:val="3"/>
        </w:numPr>
        <w:rPr>
          <w:rFonts w:ascii="Times New Roman" w:hAnsi="Times New Roman" w:cs="Times New Roman"/>
        </w:rPr>
      </w:pPr>
      <w:r>
        <w:rPr>
          <w:rFonts w:cs="Times New Roman" w:ascii="Times New Roman" w:hAnsi="Times New Roman"/>
        </w:rPr>
        <w:t>GAS TURBINE PLATFORMS, LADDERS, ETC.</w:t>
      </w:r>
    </w:p>
    <w:p>
      <w:pPr>
        <w:pStyle w:val="Normal"/>
        <w:numPr>
          <w:ilvl w:val="0"/>
          <w:numId w:val="3"/>
        </w:numPr>
        <w:rPr>
          <w:rFonts w:ascii="Times New Roman" w:hAnsi="Times New Roman" w:cs="Times New Roman"/>
        </w:rPr>
      </w:pPr>
      <w:r>
        <w:rPr>
          <w:rFonts w:cs="Times New Roman" w:ascii="Times New Roman" w:hAnsi="Times New Roman"/>
        </w:rPr>
        <w:t>GAS TURBINE AIR INTAKE DUCT</w:t>
      </w:r>
    </w:p>
    <w:p>
      <w:pPr>
        <w:pStyle w:val="Normal"/>
        <w:numPr>
          <w:ilvl w:val="0"/>
          <w:numId w:val="3"/>
        </w:numPr>
        <w:rPr>
          <w:rFonts w:ascii="Times New Roman" w:hAnsi="Times New Roman" w:cs="Times New Roman"/>
        </w:rPr>
      </w:pPr>
      <w:r>
        <w:rPr>
          <w:rFonts w:cs="Times New Roman" w:ascii="Times New Roman" w:hAnsi="Times New Roman"/>
        </w:rPr>
        <w:t>INTAKE EXPANSION JOINT</w:t>
      </w:r>
    </w:p>
    <w:p>
      <w:pPr>
        <w:pStyle w:val="Normal"/>
        <w:numPr>
          <w:ilvl w:val="0"/>
          <w:numId w:val="3"/>
        </w:numPr>
        <w:rPr>
          <w:rFonts w:ascii="Times New Roman" w:hAnsi="Times New Roman" w:cs="Times New Roman"/>
        </w:rPr>
      </w:pPr>
      <w:r>
        <w:rPr>
          <w:rFonts w:cs="Times New Roman" w:ascii="Times New Roman" w:hAnsi="Times New Roman"/>
        </w:rPr>
        <w:t>GAS TURBINE AIR INTAKE FILTER INCLUDING ELECTRICAL/CONTROL PANEL AIR INTAKE FILTER HOUSING AND FILTER ELEMENTS</w:t>
      </w:r>
    </w:p>
    <w:p>
      <w:pPr>
        <w:pStyle w:val="Normal"/>
        <w:numPr>
          <w:ilvl w:val="0"/>
          <w:numId w:val="3"/>
        </w:numPr>
        <w:rPr>
          <w:rFonts w:ascii="Times New Roman" w:hAnsi="Times New Roman" w:cs="Times New Roman"/>
        </w:rPr>
      </w:pPr>
      <w:r>
        <w:rPr>
          <w:rFonts w:cs="Times New Roman" w:ascii="Times New Roman" w:hAnsi="Times New Roman"/>
        </w:rPr>
        <w:t>GAS TURBINE EXHAUST GAS STACK INCLUDING ANCHOR BOLTS, INSULATION, SILENCERS ETC.</w:t>
      </w:r>
    </w:p>
    <w:p>
      <w:pPr>
        <w:pStyle w:val="Normal"/>
        <w:numPr>
          <w:ilvl w:val="0"/>
          <w:numId w:val="3"/>
        </w:numPr>
        <w:rPr>
          <w:rFonts w:ascii="Times New Roman" w:hAnsi="Times New Roman" w:cs="Times New Roman"/>
        </w:rPr>
      </w:pPr>
      <w:r>
        <w:rPr>
          <w:rFonts w:cs="Times New Roman" w:ascii="Times New Roman" w:hAnsi="Times New Roman"/>
        </w:rPr>
        <w:t>CLOSED COOLING WATER EXPANSION VESSEL</w:t>
      </w:r>
    </w:p>
    <w:p>
      <w:pPr>
        <w:pStyle w:val="Normal"/>
        <w:numPr>
          <w:ilvl w:val="0"/>
          <w:numId w:val="3"/>
        </w:numPr>
        <w:rPr>
          <w:rFonts w:ascii="Times New Roman" w:hAnsi="Times New Roman" w:cs="Times New Roman"/>
        </w:rPr>
      </w:pPr>
      <w:r>
        <w:rPr>
          <w:rFonts w:cs="Times New Roman" w:ascii="Times New Roman" w:hAnsi="Times New Roman"/>
        </w:rPr>
        <w:t>GAS TURBINE CLOSED COOLING WATER PUMPS</w:t>
      </w:r>
    </w:p>
    <w:p>
      <w:pPr>
        <w:pStyle w:val="Normal"/>
        <w:numPr>
          <w:ilvl w:val="0"/>
          <w:numId w:val="3"/>
        </w:numPr>
        <w:rPr>
          <w:rFonts w:ascii="Times New Roman" w:hAnsi="Times New Roman" w:cs="Times New Roman"/>
        </w:rPr>
      </w:pPr>
      <w:r>
        <w:rPr>
          <w:rFonts w:cs="Times New Roman" w:ascii="Times New Roman" w:hAnsi="Times New Roman"/>
        </w:rPr>
        <w:t>GAS TURBINE LUBE-OIL SYSTEM &amp; OIL/WATER COOLER</w:t>
      </w:r>
    </w:p>
    <w:p>
      <w:pPr>
        <w:pStyle w:val="Normal"/>
        <w:numPr>
          <w:ilvl w:val="0"/>
          <w:numId w:val="3"/>
        </w:numPr>
        <w:rPr>
          <w:rFonts w:ascii="Times New Roman" w:hAnsi="Times New Roman" w:cs="Times New Roman"/>
        </w:rPr>
      </w:pPr>
      <w:r>
        <w:rPr>
          <w:rFonts w:cs="Times New Roman" w:ascii="Times New Roman" w:hAnsi="Times New Roman"/>
        </w:rPr>
        <w:t>GAS TURBINE WATER/AIR-COOLERS &amp; ASSOCIATED EQUIPMENT (FANS, MOTORS, PUMPS, VALVES, JUNCTION BOXES, ETC.)</w:t>
      </w:r>
    </w:p>
    <w:p>
      <w:pPr>
        <w:pStyle w:val="Normal"/>
        <w:numPr>
          <w:ilvl w:val="0"/>
          <w:numId w:val="3"/>
        </w:numPr>
        <w:rPr>
          <w:rFonts w:ascii="Times New Roman" w:hAnsi="Times New Roman" w:cs="Times New Roman"/>
        </w:rPr>
      </w:pPr>
      <w:r>
        <w:rPr>
          <w:rFonts w:cs="Times New Roman" w:ascii="Times New Roman" w:hAnsi="Times New Roman"/>
        </w:rPr>
        <w:t>FIRE EXTINGUISHING GAS SYSTEM GAS TURBINE-OUTDOOR-ENCLOSURE</w:t>
      </w:r>
    </w:p>
    <w:p>
      <w:pPr>
        <w:pStyle w:val="Normal"/>
        <w:numPr>
          <w:ilvl w:val="0"/>
          <w:numId w:val="3"/>
        </w:numPr>
        <w:rPr>
          <w:rFonts w:ascii="Times New Roman" w:hAnsi="Times New Roman" w:cs="Times New Roman"/>
        </w:rPr>
      </w:pPr>
      <w:r>
        <w:rPr>
          <w:rFonts w:cs="Times New Roman" w:ascii="Times New Roman" w:hAnsi="Times New Roman"/>
        </w:rPr>
        <w:t>GAS TURBINE NOx INJECTION WATER FILTERING &amp; PUMP INCLUDING ELECTRICAL MOTOR, ASSOCIATED PIPING AND INSTRUMENTATION WITH JUNCTION BOX, EXCLUDING THE MOTOR CONTROL CUBICLE</w:t>
      </w:r>
    </w:p>
    <w:p>
      <w:pPr>
        <w:pStyle w:val="Normal"/>
        <w:numPr>
          <w:ilvl w:val="0"/>
          <w:numId w:val="3"/>
        </w:numPr>
        <w:rPr>
          <w:rFonts w:ascii="Times New Roman" w:hAnsi="Times New Roman" w:cs="Times New Roman"/>
        </w:rPr>
      </w:pPr>
      <w:r>
        <w:rPr>
          <w:rFonts w:cs="Times New Roman" w:ascii="Times New Roman" w:hAnsi="Times New Roman"/>
        </w:rPr>
        <w:t>GAS TURBINE COOLING WATER &amp; VARIOUS VALVES</w:t>
      </w:r>
    </w:p>
    <w:p>
      <w:pPr>
        <w:pStyle w:val="Normal"/>
        <w:numPr>
          <w:ilvl w:val="0"/>
          <w:numId w:val="3"/>
        </w:numPr>
        <w:rPr>
          <w:rFonts w:ascii="Times New Roman" w:hAnsi="Times New Roman" w:cs="Times New Roman"/>
        </w:rPr>
      </w:pPr>
      <w:r>
        <w:rPr>
          <w:rFonts w:cs="Times New Roman" w:ascii="Times New Roman" w:hAnsi="Times New Roman"/>
        </w:rPr>
        <w:t>HANGERS</w:t>
      </w:r>
    </w:p>
    <w:p>
      <w:pPr>
        <w:pStyle w:val="Normal"/>
        <w:numPr>
          <w:ilvl w:val="0"/>
          <w:numId w:val="3"/>
        </w:numPr>
        <w:rPr>
          <w:rFonts w:ascii="Times New Roman" w:hAnsi="Times New Roman" w:cs="Times New Roman"/>
        </w:rPr>
      </w:pPr>
      <w:r>
        <w:rPr>
          <w:rFonts w:cs="Times New Roman" w:ascii="Times New Roman" w:hAnsi="Times New Roman"/>
        </w:rPr>
        <w:t>GAS TURBINE GENERATOR BUS DUCT WITH ACCESSORIES BETWEEN GENERATOR AND GENERATOR CIRCUIT BREAKER</w:t>
      </w:r>
    </w:p>
    <w:p>
      <w:pPr>
        <w:pStyle w:val="Normal"/>
        <w:numPr>
          <w:ilvl w:val="0"/>
          <w:numId w:val="3"/>
        </w:numPr>
        <w:rPr>
          <w:rFonts w:ascii="Times New Roman" w:hAnsi="Times New Roman" w:cs="Times New Roman"/>
        </w:rPr>
      </w:pPr>
      <w:r>
        <w:rPr>
          <w:rFonts w:cs="Times New Roman" w:ascii="Times New Roman" w:hAnsi="Times New Roman"/>
        </w:rPr>
        <w:t>230 KV STEP-UP TRANSFORMERS</w:t>
      </w:r>
    </w:p>
    <w:p>
      <w:pPr>
        <w:pStyle w:val="Normal"/>
        <w:numPr>
          <w:ilvl w:val="0"/>
          <w:numId w:val="3"/>
        </w:numPr>
        <w:rPr>
          <w:rFonts w:ascii="Times New Roman" w:hAnsi="Times New Roman" w:cs="Times New Roman"/>
        </w:rPr>
      </w:pPr>
      <w:r>
        <w:rPr>
          <w:rFonts w:cs="Times New Roman" w:ascii="Times New Roman" w:hAnsi="Times New Roman"/>
        </w:rPr>
        <w:t>GAS TURBINE-OUTDOOR ENCLOSURE INCLUDING LIGHTING &amp; VENTILATION</w:t>
      </w:r>
    </w:p>
    <w:p>
      <w:pPr>
        <w:pStyle w:val="Normal"/>
        <w:numPr>
          <w:ilvl w:val="0"/>
          <w:numId w:val="3"/>
        </w:numPr>
        <w:rPr>
          <w:rFonts w:ascii="Times New Roman" w:hAnsi="Times New Roman" w:cs="Times New Roman"/>
        </w:rPr>
      </w:pPr>
      <w:r>
        <w:rPr>
          <w:rFonts w:cs="Times New Roman" w:ascii="Times New Roman" w:hAnsi="Times New Roman"/>
        </w:rPr>
        <w:t>GAS TURBINE THERMAL BLOCK</w:t>
      </w:r>
    </w:p>
    <w:p>
      <w:pPr>
        <w:pStyle w:val="Normal"/>
        <w:numPr>
          <w:ilvl w:val="0"/>
          <w:numId w:val="3"/>
        </w:numPr>
        <w:rPr>
          <w:rFonts w:ascii="Times New Roman" w:hAnsi="Times New Roman" w:cs="Times New Roman"/>
        </w:rPr>
      </w:pPr>
      <w:r>
        <w:rPr>
          <w:rFonts w:cs="Times New Roman" w:ascii="Times New Roman" w:hAnsi="Times New Roman"/>
        </w:rPr>
        <w:t>GAS TURBINE COMBUSTION CHAMBER AND BURNER INCLUDING INSULATION, CONTROL PARTS, ETC.</w:t>
      </w:r>
    </w:p>
    <w:p>
      <w:pPr>
        <w:pStyle w:val="Normal"/>
        <w:numPr>
          <w:ilvl w:val="0"/>
          <w:numId w:val="3"/>
        </w:numPr>
        <w:rPr>
          <w:rFonts w:ascii="Times New Roman" w:hAnsi="Times New Roman" w:cs="Times New Roman"/>
        </w:rPr>
      </w:pPr>
      <w:r>
        <w:rPr>
          <w:rFonts w:cs="Times New Roman" w:ascii="Times New Roman" w:hAnsi="Times New Roman"/>
        </w:rPr>
        <w:t>MISCELLANEOUS GAS TURBINE EQUIPMENT ASSOCIATED DIRECTLY TO THE UNIT</w:t>
      </w:r>
    </w:p>
    <w:p>
      <w:pPr>
        <w:pStyle w:val="Normal"/>
        <w:numPr>
          <w:ilvl w:val="0"/>
          <w:numId w:val="3"/>
        </w:numPr>
        <w:rPr>
          <w:rFonts w:ascii="Times New Roman" w:hAnsi="Times New Roman" w:cs="Times New Roman"/>
        </w:rPr>
      </w:pPr>
      <w:r>
        <w:rPr>
          <w:rFonts w:cs="Times New Roman" w:ascii="Times New Roman" w:hAnsi="Times New Roman"/>
        </w:rPr>
        <w:t xml:space="preserve">GAS TURBINE HYDRAULIC CONTROL &amp; AUXILIARY BLOCK &amp; CONTROL/COOLING-AIR COOLERS COMPLETE ASSEMBLED AND FOUNDATION ANCHORS. </w:t>
      </w:r>
    </w:p>
    <w:p>
      <w:pPr>
        <w:pStyle w:val="Normal"/>
        <w:numPr>
          <w:ilvl w:val="0"/>
          <w:numId w:val="3"/>
        </w:numPr>
        <w:rPr>
          <w:rFonts w:ascii="Times New Roman" w:hAnsi="Times New Roman" w:cs="Times New Roman"/>
        </w:rPr>
      </w:pPr>
      <w:r>
        <w:rPr>
          <w:rFonts w:cs="Times New Roman" w:ascii="Times New Roman" w:hAnsi="Times New Roman"/>
        </w:rPr>
        <w:t>COMPRESSOR BLOW OFF SYSTEM &amp; SILENCER</w:t>
      </w:r>
    </w:p>
    <w:p>
      <w:pPr>
        <w:pStyle w:val="Normal"/>
        <w:numPr>
          <w:ilvl w:val="0"/>
          <w:numId w:val="3"/>
        </w:numPr>
        <w:rPr>
          <w:rFonts w:ascii="Times New Roman" w:hAnsi="Times New Roman" w:cs="Times New Roman"/>
        </w:rPr>
      </w:pPr>
      <w:r>
        <w:rPr>
          <w:rFonts w:cs="Times New Roman" w:ascii="Times New Roman" w:hAnsi="Times New Roman"/>
        </w:rPr>
        <w:t>GAS TURBINE INTERMEDIATE BLOCK &amp; SHAFT &amp; VIBRATION</w:t>
      </w:r>
    </w:p>
    <w:p>
      <w:pPr>
        <w:pStyle w:val="Normal"/>
        <w:numPr>
          <w:ilvl w:val="0"/>
          <w:numId w:val="3"/>
        </w:numPr>
        <w:rPr>
          <w:rFonts w:ascii="Times New Roman" w:hAnsi="Times New Roman" w:cs="Times New Roman"/>
        </w:rPr>
      </w:pPr>
      <w:r>
        <w:rPr>
          <w:rFonts w:cs="Times New Roman" w:ascii="Times New Roman" w:hAnsi="Times New Roman"/>
        </w:rPr>
        <w:t>GAS TURBINE WATER INJECTION CONTROL BLOCK</w:t>
      </w:r>
    </w:p>
    <w:p>
      <w:pPr>
        <w:pStyle w:val="Normal"/>
        <w:numPr>
          <w:ilvl w:val="0"/>
          <w:numId w:val="3"/>
        </w:numPr>
        <w:rPr>
          <w:rFonts w:ascii="Times New Roman" w:hAnsi="Times New Roman" w:cs="Times New Roman"/>
        </w:rPr>
      </w:pPr>
      <w:r>
        <w:rPr>
          <w:rFonts w:cs="Times New Roman" w:ascii="Times New Roman" w:hAnsi="Times New Roman"/>
        </w:rPr>
        <w:t>GAS TURBINE OIL FUEL PUMP BLOCK</w:t>
      </w:r>
    </w:p>
    <w:p>
      <w:pPr>
        <w:pStyle w:val="Normal"/>
        <w:numPr>
          <w:ilvl w:val="0"/>
          <w:numId w:val="3"/>
        </w:numPr>
        <w:rPr>
          <w:rFonts w:ascii="Times New Roman" w:hAnsi="Times New Roman" w:cs="Times New Roman"/>
        </w:rPr>
      </w:pPr>
      <w:r>
        <w:rPr>
          <w:rFonts w:cs="Times New Roman" w:ascii="Times New Roman" w:hAnsi="Times New Roman"/>
        </w:rPr>
        <w:t>GAS TURBINE IGNITION BLOCK</w:t>
      </w:r>
    </w:p>
    <w:p>
      <w:pPr>
        <w:pStyle w:val="Normal"/>
        <w:numPr>
          <w:ilvl w:val="0"/>
          <w:numId w:val="3"/>
        </w:numPr>
        <w:rPr>
          <w:rFonts w:ascii="Times New Roman" w:hAnsi="Times New Roman" w:cs="Times New Roman"/>
        </w:rPr>
      </w:pPr>
      <w:r>
        <w:rPr>
          <w:rFonts w:cs="Times New Roman" w:ascii="Times New Roman" w:hAnsi="Times New Roman"/>
        </w:rPr>
        <w:t>GAS TURBINE EXHAUST GAS DIFFUSER INCLUDING INSULATION</w:t>
      </w:r>
    </w:p>
    <w:p>
      <w:pPr>
        <w:pStyle w:val="Normal"/>
        <w:numPr>
          <w:ilvl w:val="0"/>
          <w:numId w:val="3"/>
        </w:numPr>
        <w:rPr>
          <w:rFonts w:ascii="Times New Roman" w:hAnsi="Times New Roman" w:cs="Times New Roman"/>
        </w:rPr>
      </w:pPr>
      <w:r>
        <w:rPr>
          <w:rFonts w:cs="Times New Roman" w:ascii="Times New Roman" w:hAnsi="Times New Roman"/>
        </w:rPr>
        <w:t>GAS TURBINE GENERATOR, EXCITER, COOLERS</w:t>
      </w:r>
    </w:p>
    <w:p>
      <w:pPr>
        <w:pStyle w:val="Normal"/>
        <w:numPr>
          <w:ilvl w:val="0"/>
          <w:numId w:val="3"/>
        </w:numPr>
        <w:rPr>
          <w:rFonts w:ascii="Times New Roman" w:hAnsi="Times New Roman" w:cs="Times New Roman"/>
        </w:rPr>
      </w:pPr>
      <w:r>
        <w:rPr>
          <w:rFonts w:cs="Times New Roman" w:ascii="Times New Roman" w:hAnsi="Times New Roman"/>
        </w:rPr>
        <w:t>GAS TURBINE GENERATOR BREAKER</w:t>
      </w:r>
    </w:p>
    <w:p>
      <w:pPr>
        <w:pStyle w:val="Normal"/>
        <w:numPr>
          <w:ilvl w:val="0"/>
          <w:numId w:val="3"/>
        </w:numPr>
        <w:rPr>
          <w:rFonts w:ascii="Times New Roman" w:hAnsi="Times New Roman" w:cs="Times New Roman"/>
        </w:rPr>
      </w:pPr>
      <w:r>
        <w:rPr>
          <w:rFonts w:cs="Times New Roman" w:ascii="Times New Roman" w:hAnsi="Times New Roman"/>
        </w:rPr>
        <w:t>GAS TURBINE GENERATOR BREAKER MODULE DD</w:t>
      </w:r>
    </w:p>
    <w:p>
      <w:pPr>
        <w:pStyle w:val="Normal"/>
        <w:numPr>
          <w:ilvl w:val="0"/>
          <w:numId w:val="3"/>
        </w:numPr>
        <w:rPr>
          <w:rFonts w:ascii="Times New Roman" w:hAnsi="Times New Roman" w:cs="Times New Roman"/>
        </w:rPr>
      </w:pPr>
      <w:r>
        <w:rPr>
          <w:rFonts w:cs="Times New Roman" w:ascii="Times New Roman" w:hAnsi="Times New Roman"/>
        </w:rPr>
        <w:t>GAS TURBINE GENERATOR OUTPUT CUBICLE</w:t>
      </w:r>
    </w:p>
    <w:p>
      <w:pPr>
        <w:pStyle w:val="Normal"/>
        <w:numPr>
          <w:ilvl w:val="0"/>
          <w:numId w:val="3"/>
        </w:numPr>
        <w:rPr>
          <w:rFonts w:ascii="Times New Roman" w:hAnsi="Times New Roman" w:cs="Times New Roman"/>
        </w:rPr>
      </w:pPr>
      <w:r>
        <w:rPr>
          <w:rFonts w:cs="Times New Roman" w:ascii="Times New Roman" w:hAnsi="Times New Roman"/>
        </w:rPr>
        <w:t>EGATROL GAS TURBINE CONTROL SYSTEM</w:t>
      </w:r>
    </w:p>
    <w:p>
      <w:pPr>
        <w:pStyle w:val="Normal"/>
        <w:numPr>
          <w:ilvl w:val="0"/>
          <w:numId w:val="3"/>
        </w:numPr>
        <w:rPr>
          <w:rFonts w:ascii="Times New Roman" w:hAnsi="Times New Roman" w:cs="Times New Roman"/>
        </w:rPr>
      </w:pPr>
      <w:r>
        <w:rPr>
          <w:rFonts w:cs="Times New Roman" w:ascii="Times New Roman" w:hAnsi="Times New Roman"/>
        </w:rPr>
        <w:t>GAS TURBINE AVR CUBICLE UNITROL</w:t>
      </w:r>
    </w:p>
    <w:p>
      <w:pPr>
        <w:pStyle w:val="Normal"/>
        <w:numPr>
          <w:ilvl w:val="0"/>
          <w:numId w:val="3"/>
        </w:numPr>
        <w:rPr>
          <w:rFonts w:ascii="Times New Roman" w:hAnsi="Times New Roman" w:cs="Times New Roman"/>
        </w:rPr>
      </w:pPr>
      <w:r>
        <w:rPr>
          <w:rFonts w:cs="Times New Roman" w:ascii="Times New Roman" w:hAnsi="Times New Roman"/>
        </w:rPr>
        <w:t>GAS TURBINE GENERATOR PROTECTION CUBICLE GSX10</w:t>
      </w:r>
    </w:p>
    <w:p>
      <w:pPr>
        <w:pStyle w:val="Normal"/>
        <w:numPr>
          <w:ilvl w:val="0"/>
          <w:numId w:val="3"/>
        </w:numPr>
        <w:rPr>
          <w:rFonts w:ascii="Times New Roman" w:hAnsi="Times New Roman" w:cs="Times New Roman"/>
        </w:rPr>
      </w:pPr>
      <w:r>
        <w:rPr>
          <w:rFonts w:cs="Times New Roman" w:ascii="Times New Roman" w:hAnsi="Times New Roman"/>
        </w:rPr>
        <w:t>CONTROLS ENCLOSURE MODULE AA</w:t>
      </w:r>
    </w:p>
    <w:p>
      <w:pPr>
        <w:pStyle w:val="Normal"/>
        <w:numPr>
          <w:ilvl w:val="0"/>
          <w:numId w:val="3"/>
        </w:numPr>
        <w:rPr>
          <w:rFonts w:ascii="Times New Roman" w:hAnsi="Times New Roman" w:cs="Times New Roman"/>
        </w:rPr>
      </w:pPr>
      <w:r>
        <w:rPr>
          <w:rFonts w:cs="Times New Roman" w:ascii="Times New Roman" w:hAnsi="Times New Roman"/>
        </w:rPr>
        <w:t>BATTERIES</w:t>
      </w:r>
    </w:p>
    <w:p>
      <w:pPr>
        <w:pStyle w:val="Normal"/>
        <w:numPr>
          <w:ilvl w:val="0"/>
          <w:numId w:val="3"/>
        </w:numPr>
        <w:rPr>
          <w:rFonts w:ascii="Times New Roman" w:hAnsi="Times New Roman" w:cs="Times New Roman"/>
        </w:rPr>
      </w:pPr>
      <w:r>
        <w:rPr>
          <w:rFonts w:cs="Times New Roman" w:ascii="Times New Roman" w:hAnsi="Times New Roman"/>
        </w:rPr>
        <w:t>FUEL FORWARDING (BOOSTER) PUMP</w:t>
      </w:r>
    </w:p>
    <w:p>
      <w:pPr>
        <w:pStyle w:val="Normal"/>
        <w:numPr>
          <w:ilvl w:val="0"/>
          <w:numId w:val="3"/>
        </w:numPr>
        <w:rPr>
          <w:rFonts w:ascii="Times New Roman" w:hAnsi="Times New Roman" w:cs="Times New Roman"/>
        </w:rPr>
      </w:pPr>
      <w:r>
        <w:rPr>
          <w:rFonts w:cs="Times New Roman" w:ascii="Times New Roman" w:hAnsi="Times New Roman"/>
        </w:rPr>
        <w:t>HIGH VOLTAGE MOTORIZED DISCONNECT SWITCH – 240 KV</w:t>
      </w:r>
    </w:p>
    <w:p>
      <w:pPr>
        <w:pStyle w:val="Normal"/>
        <w:numPr>
          <w:ilvl w:val="0"/>
          <w:numId w:val="3"/>
        </w:numPr>
        <w:rPr>
          <w:rFonts w:ascii="Times New Roman" w:hAnsi="Times New Roman" w:cs="Times New Roman"/>
        </w:rPr>
      </w:pPr>
      <w:r>
        <w:rPr>
          <w:rFonts w:cs="Times New Roman" w:ascii="Times New Roman" w:hAnsi="Times New Roman"/>
        </w:rPr>
        <w:t>STACK (INCLUDING SILENCER)</w:t>
      </w:r>
    </w:p>
    <w:p>
      <w:pPr>
        <w:pStyle w:val="Normal"/>
        <w:numPr>
          <w:ilvl w:val="0"/>
          <w:numId w:val="3"/>
        </w:numPr>
        <w:rPr>
          <w:rFonts w:ascii="Times New Roman" w:hAnsi="Times New Roman" w:cs="Times New Roman"/>
        </w:rPr>
      </w:pPr>
      <w:r>
        <w:rPr>
          <w:rFonts w:cs="Times New Roman" w:ascii="Times New Roman" w:hAnsi="Times New Roman"/>
        </w:rPr>
        <w:t>OPERATIONS AND MAINTENANCE MANUALS (1 COPY)</w:t>
      </w:r>
    </w:p>
    <w:p>
      <w:pPr>
        <w:pStyle w:val="Normal"/>
        <w:numPr>
          <w:ilvl w:val="0"/>
          <w:numId w:val="3"/>
        </w:numPr>
        <w:rPr>
          <w:rFonts w:ascii="Times New Roman" w:hAnsi="Times New Roman" w:cs="Times New Roman"/>
        </w:rPr>
      </w:pPr>
      <w:r>
        <w:rPr>
          <w:rFonts w:cs="Times New Roman" w:ascii="Times New Roman" w:hAnsi="Times New Roman"/>
        </w:rPr>
        <w:t>DRAWINGS (1 SET)</w:t>
      </w:r>
    </w:p>
    <w:p>
      <w:pPr>
        <w:pStyle w:val="Normal"/>
        <w:numPr>
          <w:ilvl w:val="0"/>
          <w:numId w:val="3"/>
        </w:numPr>
        <w:rPr>
          <w:rFonts w:ascii="Times New Roman" w:hAnsi="Times New Roman" w:cs="Times New Roman"/>
        </w:rPr>
      </w:pPr>
      <w:r>
        <w:rPr>
          <w:rFonts w:cs="Times New Roman" w:ascii="Times New Roman" w:hAnsi="Times New Roman"/>
        </w:rPr>
        <w:t>GT STARTING DEVICE *</w:t>
      </w:r>
    </w:p>
    <w:p>
      <w:pPr>
        <w:pStyle w:val="Normal"/>
        <w:numPr>
          <w:ilvl w:val="0"/>
          <w:numId w:val="3"/>
        </w:numPr>
        <w:rPr>
          <w:rFonts w:ascii="Times New Roman" w:hAnsi="Times New Roman" w:cs="Times New Roman"/>
        </w:rPr>
      </w:pPr>
      <w:r>
        <w:rPr>
          <w:rFonts w:cs="Times New Roman" w:ascii="Times New Roman" w:hAnsi="Times New Roman"/>
        </w:rPr>
        <w:t>STATION TRANSFORMER (13.8KV TO 4.16KV)*</w:t>
      </w:r>
    </w:p>
    <w:p>
      <w:pPr>
        <w:pStyle w:val="Normal"/>
        <w:numPr>
          <w:ilvl w:val="0"/>
          <w:numId w:val="3"/>
        </w:numPr>
        <w:rPr>
          <w:rFonts w:ascii="Times New Roman" w:hAnsi="Times New Roman" w:cs="Times New Roman"/>
        </w:rPr>
      </w:pPr>
      <w:r>
        <w:rPr>
          <w:rFonts w:cs="Times New Roman" w:ascii="Times New Roman" w:hAnsi="Times New Roman"/>
        </w:rPr>
        <w:t>AVAILABLE TOOLS ASSOCIATED WITH MILLBANK UNITS 3&amp;4, INCLUDING PORTABLE COMPUTER WITH ABB DIAGNOSTIC HARDWARE &amp; SOFTWARE</w:t>
      </w:r>
    </w:p>
    <w:p>
      <w:pPr>
        <w:pStyle w:val="Normal"/>
        <w:numPr>
          <w:ilvl w:val="0"/>
          <w:numId w:val="0"/>
        </w:numPr>
        <w:outlineLvl w:val="0"/>
        <w:rPr>
          <w:rFonts w:ascii="Times New Roman" w:hAnsi="Times New Roman" w:cs="Times New Roman"/>
          <w:b/>
        </w:rPr>
      </w:pPr>
      <w:r>
        <w:rPr>
          <w:rFonts w:cs="Times New Roman" w:ascii="Times New Roman" w:hAnsi="Times New Roman"/>
          <w:b/>
        </w:rPr>
        <w:t>46. EXCLUDES CENTRAL CONTROL ROOM, WATER TREATMENT PLANT, FUEL TANKS, AND 240 KV TRANSMISSION STRUCTURES.</w:t>
      </w:r>
    </w:p>
    <w:p>
      <w:pPr>
        <w:pStyle w:val="Normal"/>
        <w:numPr>
          <w:ilvl w:val="0"/>
          <w:numId w:val="0"/>
        </w:numPr>
        <w:outlineLvl w:val="0"/>
        <w:rPr>
          <w:rFonts w:ascii="Times New Roman" w:hAnsi="Times New Roman" w:cs="Times New Roman"/>
          <w:b/>
        </w:rPr>
      </w:pPr>
      <w:r>
        <w:rPr>
          <w:rFonts w:cs="Times New Roman" w:ascii="Times New Roman" w:hAnsi="Times New Roman"/>
          <w:b/>
        </w:rPr>
      </w:r>
    </w:p>
    <w:p>
      <w:pPr>
        <w:pStyle w:val="Normal"/>
        <w:numPr>
          <w:ilvl w:val="0"/>
          <w:numId w:val="0"/>
        </w:numPr>
        <w:outlineLvl w:val="0"/>
        <w:rPr>
          <w:rFonts w:ascii="Times New Roman" w:hAnsi="Times New Roman" w:cs="Times New Roman"/>
        </w:rPr>
      </w:pPr>
      <w:r>
        <w:rPr>
          <w:rFonts w:cs="Times New Roman" w:ascii="Times New Roman" w:hAnsi="Times New Roman"/>
        </w:rPr>
        <w:t>End of Equipment list (46 items)</w:t>
      </w:r>
    </w:p>
    <w:p>
      <w:pPr>
        <w:pStyle w:val="Normal"/>
        <w:rPr>
          <w:rFonts w:ascii="Times New Roman" w:hAnsi="Times New Roman" w:cs="Times New Roman"/>
          <w:lang w:val="en-CA"/>
        </w:rPr>
      </w:pPr>
      <w:r>
        <w:rPr>
          <w:rFonts w:cs="Times New Roman" w:ascii="Times New Roman" w:hAnsi="Times New Roman"/>
          <w:lang w:val="en-CA"/>
        </w:rPr>
        <w:drawing>
          <wp:anchor behindDoc="0" distT="0" distB="0" distL="114935" distR="114935" simplePos="0" locked="0" layoutInCell="0" allowOverlap="1" relativeHeight="2">
            <wp:simplePos x="0" y="0"/>
            <wp:positionH relativeFrom="column">
              <wp:posOffset>411480</wp:posOffset>
            </wp:positionH>
            <wp:positionV relativeFrom="paragraph">
              <wp:posOffset>1008380</wp:posOffset>
            </wp:positionV>
            <wp:extent cx="4441825" cy="3333750"/>
            <wp:effectExtent l="0" t="0" r="0" b="0"/>
            <wp:wrapTopAndBottom/>
            <wp:docPr id="1" name="P1000250%20Plant%20Sidevie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1000250%20Plant%20Sideview" descr="" title=""/>
                    <pic:cNvPicPr>
                      <a:picLocks noChangeAspect="1" noChangeArrowheads="1"/>
                    </pic:cNvPicPr>
                  </pic:nvPicPr>
                  <pic:blipFill>
                    <a:blip r:embed="rId2"/>
                    <a:srcRect l="-6" t="-8" r="-6" b="-8"/>
                    <a:stretch>
                      <a:fillRect/>
                    </a:stretch>
                  </pic:blipFill>
                  <pic:spPr bwMode="auto">
                    <a:xfrm>
                      <a:off x="0" y="0"/>
                      <a:ext cx="4441825" cy="3333750"/>
                    </a:xfrm>
                    <a:prstGeom prst="rect">
                      <a:avLst/>
                    </a:prstGeom>
                    <a:noFill/>
                  </pic:spPr>
                </pic:pic>
              </a:graphicData>
            </a:graphic>
          </wp:anchor>
        </w:drawing>
      </w:r>
    </w:p>
    <w:p>
      <w:pPr>
        <w:pStyle w:val="Normal"/>
        <w:ind w:hanging="900" w:start="900" w:end="0"/>
        <w:rPr>
          <w:b/>
        </w:rPr>
      </w:pPr>
      <w:r>
        <w:rPr>
          <w:rFonts w:cs="Times New Roman" w:ascii="Times New Roman" w:hAnsi="Times New Roman"/>
          <w:b/>
          <w:u w:val="single"/>
        </w:rPr>
        <w:t>*NOTE</w:t>
      </w:r>
      <w:r>
        <w:rPr>
          <w:rFonts w:cs="Times New Roman" w:ascii="Times New Roman" w:hAnsi="Times New Roman"/>
          <w:b/>
        </w:rPr>
        <w:t xml:space="preserve">:  There is only </w:t>
      </w:r>
      <w:r>
        <w:rPr>
          <w:rFonts w:cs="Times New Roman" w:ascii="Times New Roman" w:hAnsi="Times New Roman"/>
          <w:b/>
          <w:u w:val="single"/>
        </w:rPr>
        <w:t>one</w:t>
      </w:r>
      <w:r>
        <w:rPr>
          <w:rFonts w:cs="Times New Roman" w:ascii="Times New Roman" w:hAnsi="Times New Roman"/>
          <w:b/>
        </w:rPr>
        <w:t xml:space="preserve"> Starting Device and one Station Service Transformer to service the two combustion turbines.</w:t>
      </w:r>
    </w:p>
    <w:p>
      <w:pPr>
        <w:pStyle w:val="Normal"/>
        <w:rPr>
          <w:b/>
        </w:rPr>
      </w:pPr>
      <w:r>
        <w:rPr>
          <w:b/>
        </w:rPr>
      </w:r>
    </w:p>
    <w:p>
      <w:pPr>
        <w:pStyle w:val="Normal"/>
        <w:rPr/>
      </w:pPr>
      <w:r>
        <w:rPr/>
      </w:r>
    </w:p>
    <w:p>
      <w:pPr>
        <w:pStyle w:val="Heading2"/>
        <w:ind w:hanging="0" w:start="0"/>
        <w:rPr/>
      </w:pPr>
      <w:r>
        <w:rPr/>
      </w:r>
    </w:p>
    <w:p>
      <w:pPr>
        <w:pStyle w:val="Normal"/>
        <w:rPr/>
      </w:pPr>
      <w:r>
        <w:rPr/>
      </w:r>
    </w:p>
    <w:p>
      <w:pPr>
        <w:pStyle w:val="Normal"/>
        <w:rPr>
          <w:i/>
          <w:i/>
          <w:color w:val="0000FF"/>
          <w:sz w:val="32"/>
          <w:lang w:val="en-CA" w:eastAsia="en-US"/>
        </w:rPr>
      </w:pPr>
      <w:r>
        <w:rPr>
          <w:i/>
          <w:color w:val="0000FF"/>
          <w:sz w:val="32"/>
          <w:lang w:val="en-CA" w:eastAsia="en-US"/>
        </w:rPr>
        <mc:AlternateContent>
          <mc:Choice Requires="wpg">
            <w:drawing>
              <wp:anchor behindDoc="0" distT="0" distB="0" distL="114935" distR="114935" simplePos="0" locked="0" layoutInCell="0" allowOverlap="1" relativeHeight="3">
                <wp:simplePos x="0" y="0"/>
                <wp:positionH relativeFrom="column">
                  <wp:posOffset>-137160</wp:posOffset>
                </wp:positionH>
                <wp:positionV relativeFrom="paragraph">
                  <wp:posOffset>543560</wp:posOffset>
                </wp:positionV>
                <wp:extent cx="5450840" cy="2447925"/>
                <wp:effectExtent l="0" t="0" r="0" b="0"/>
                <wp:wrapTopAndBottom/>
                <wp:docPr id="2" name=""/>
                <a:graphic xmlns:a="http://schemas.openxmlformats.org/drawingml/2006/main">
                  <a:graphicData uri="http://schemas.microsoft.com/office/word/2010/wordprocessingGroup">
                    <wpg:wgp>
                      <wpg:cNvGrpSpPr/>
                      <wpg:grpSpPr>
                        <a:xfrm>
                          <a:off x="0" y="0"/>
                          <a:ext cx="5450760" cy="2448000"/>
                          <a:chOff x="0" y="0"/>
                          <a:chExt cx="5450760" cy="2448000"/>
                        </a:xfrm>
                      </wpg:grpSpPr>
                      <wps:wsp>
                        <wps:cNvSpPr txBox="1"/>
                        <wps:spPr>
                          <a:xfrm>
                            <a:off x="1924560" y="2143800"/>
                            <a:ext cx="1517040" cy="304200"/>
                          </a:xfrm>
                          <a:prstGeom prst="rect">
                            <a:avLst/>
                          </a:prstGeom>
                          <a:noFill/>
                          <a:ln w="0">
                            <a:noFill/>
                          </a:ln>
                        </wps:spPr>
                        <wps:txbx>
                          <w:txbxContent>
                            <w:p>
                              <w:pPr>
                                <w:overflowPunct w:val="false"/>
                                <w:bidi w:val="0"/>
                                <w:rPr/>
                              </w:pPr>
                              <w:r>
                                <w:rPr>
                                  <w:kern w:val="2"/>
                                  <w:sz w:val="28"/>
                                  <w:szCs w:val="20"/>
                                  <w:rFonts w:ascii="Arial" w:hAnsi="Arial" w:eastAsia="Times New Roman" w:cs="Arial"/>
                                  <w:color w:val="000000"/>
                                  <w:lang w:val="en-US" w:eastAsia="en-US"/>
                                </w:rPr>
                                <w:t>ABB 11N Engine</w:t>
                              </w:r>
                            </w:p>
                          </w:txbxContent>
                        </wps:txbx>
                        <wps:bodyPr wrap="square" anchor="ctr">
                          <a:noAutofit/>
                        </wps:bodyPr>
                      </wps:wsp>
                      <pic:pic xmlns:pic="http://schemas.openxmlformats.org/drawingml/2006/picture">
                        <pic:nvPicPr>
                          <pic:cNvPr id="3" name="page11" descr=""/>
                          <pic:cNvPicPr/>
                        </pic:nvPicPr>
                        <pic:blipFill>
                          <a:blip r:embed="rId3"/>
                          <a:srcRect l="13680" t="20891" r="1341" b="36742"/>
                          <a:stretch/>
                        </pic:blipFill>
                        <pic:spPr>
                          <a:xfrm>
                            <a:off x="0" y="0"/>
                            <a:ext cx="5450760" cy="2112480"/>
                          </a:xfrm>
                          <a:prstGeom prst="rect">
                            <a:avLst/>
                          </a:prstGeom>
                          <a:noFill/>
                          <a:ln w="0">
                            <a:noFill/>
                          </a:ln>
                        </pic:spPr>
                      </pic:pic>
                    </wpg:wgp>
                  </a:graphicData>
                </a:graphic>
              </wp:anchor>
            </w:drawing>
          </mc:Choice>
          <mc:Fallback>
            <w:pict>
              <v:group id="shape_0" style="position:absolute;margin-left:-10.8pt;margin-top:42.8pt;width:429.2pt;height:192.75pt" coordorigin="-216,856" coordsize="8584,3855">
                <v:shapetype id="_x0000_t202" coordsize="21600,21600" o:spt="202" path="m,l,21600l21600,21600l21600,xe">
                  <v:stroke joinstyle="miter"/>
                  <v:path gradientshapeok="t" o:connecttype="rect"/>
                </v:shapetype>
                <v:shape id="shape_0" stroked="f" o:allowincell="f" style="position:absolute;left:2815;top:4232;width:2388;height:478;mso-wrap-style:none;v-text-anchor:middle" type="_x0000_t202">
                  <v:textbox>
                    <w:txbxContent>
                      <w:p>
                        <w:pPr>
                          <w:overflowPunct w:val="false"/>
                          <w:bidi w:val="0"/>
                          <w:rPr/>
                        </w:pPr>
                        <w:r>
                          <w:rPr>
                            <w:kern w:val="2"/>
                            <w:sz w:val="28"/>
                            <w:szCs w:val="20"/>
                            <w:rFonts w:ascii="Arial" w:hAnsi="Arial" w:eastAsia="Times New Roman" w:cs="Arial"/>
                            <w:color w:val="000000"/>
                            <w:lang w:val="en-US" w:eastAsia="en-US"/>
                          </w:rPr>
                          <w:t>ABB 11N Engine</w:t>
                        </w:r>
                      </w:p>
                    </w:txbxContent>
                  </v:textbox>
                  <v:fill o:detectmouseclick="t" on="false"/>
                  <v:stroke color="#3465a4" joinstyle="round" endcap="flat"/>
                  <w10:wrap type="topAndBottom"/>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age11" stroked="f" o:allowincell="f" style="position:absolute;left:-216;top:856;width:8583;height:3326;mso-wrap-style:none;v-text-anchor:middle" type="_x0000_t75">
                  <v:imagedata r:id="rId4" o:detectmouseclick="t"/>
                  <v:stroke color="#3465a4" joinstyle="round" endcap="flat"/>
                  <w10:wrap type="topAndBottom"/>
                </v:shape>
              </v:group>
            </w:pict>
          </mc:Fallback>
        </mc:AlternateContent>
      </w:r>
    </w:p>
    <w:p>
      <w:pPr>
        <w:pStyle w:val="Normal"/>
        <w:rPr>
          <w:i/>
          <w:i/>
          <w:color w:val="0000FF"/>
          <w:sz w:val="32"/>
          <w:lang w:eastAsia="en-US"/>
        </w:rPr>
      </w:pPr>
      <w:r>
        <w:rPr>
          <w:i/>
          <w:color w:val="0000FF"/>
          <w:sz w:val="32"/>
          <w:lang w:eastAsia="en-US"/>
        </w:rPr>
      </w:r>
    </w:p>
    <w:sectPr>
      <w:headerReference w:type="default" r:id="rId5"/>
      <w:type w:val="nextPage"/>
      <w:pgSz w:w="12240" w:h="15840"/>
      <w:pgMar w:left="1800" w:right="1800" w:gutter="0" w:header="720" w:top="776" w:footer="0" w:bottom="4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Normal"/>
    <w:next w:val="Normal"/>
    <w:qFormat/>
    <w:pPr>
      <w:numPr>
        <w:ilvl w:val="0"/>
        <w:numId w:val="1"/>
      </w:numPr>
      <w:spacing w:before="240" w:after="0"/>
      <w:outlineLvl w:val="0"/>
    </w:pPr>
    <w:rPr>
      <w:b/>
      <w:sz w:val="24"/>
      <w:u w:val="single"/>
    </w:rPr>
  </w:style>
  <w:style w:type="paragraph" w:styleId="Heading2">
    <w:name w:val="heading 2"/>
    <w:basedOn w:val="Normal"/>
    <w:next w:val="Normal"/>
    <w:qFormat/>
    <w:pPr>
      <w:keepNext w:val="true"/>
      <w:numPr>
        <w:ilvl w:val="1"/>
        <w:numId w:val="1"/>
      </w:numPr>
      <w:jc w:val="center"/>
      <w:outlineLvl w:val="1"/>
    </w:pPr>
    <w:rPr>
      <w:i/>
      <w:color w:val="0000FF"/>
      <w:sz w:val="32"/>
      <w:lang w:eastAsia="en-U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rPr>
      <w:b/>
      <w:sz w:val="24"/>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To">
    <w:name w:val="To"/>
    <w:basedOn w:val="Normal"/>
    <w:qFormat/>
    <w:pPr/>
    <w:rPr>
      <w:sz w:val="36"/>
    </w:rPr>
  </w:style>
  <w:style w:type="paragraph" w:styleId="ToCompany">
    <w:name w:val="ToCompany"/>
    <w:basedOn w:val="Normal"/>
    <w:qFormat/>
    <w:pPr/>
    <w:rPr>
      <w:sz w:val="28"/>
    </w:rPr>
  </w:style>
  <w:style w:type="paragraph" w:styleId="ToFax">
    <w:name w:val="ToFax"/>
    <w:basedOn w:val="Normal"/>
    <w:qFormat/>
    <w:pPr/>
    <w:rPr>
      <w:sz w:val="28"/>
    </w:rPr>
  </w:style>
  <w:style w:type="paragraph" w:styleId="From">
    <w:name w:val="From"/>
    <w:basedOn w:val="Normal"/>
    <w:qFormat/>
    <w:pPr>
      <w:spacing w:before="360" w:after="0"/>
    </w:pPr>
    <w:rPr>
      <w:sz w:val="36"/>
    </w:rPr>
  </w:style>
  <w:style w:type="paragraph" w:styleId="FromCompany">
    <w:name w:val="FromCompany"/>
    <w:basedOn w:val="Normal"/>
    <w:qFormat/>
    <w:pPr/>
    <w:rPr>
      <w:sz w:val="28"/>
    </w:rPr>
  </w:style>
  <w:style w:type="paragraph" w:styleId="FromPhone">
    <w:name w:val="FromPhone"/>
    <w:basedOn w:val="Normal"/>
    <w:qFormat/>
    <w:pPr/>
    <w:rPr>
      <w:sz w:val="28"/>
    </w:rPr>
  </w:style>
  <w:style w:type="paragraph" w:styleId="FromFax">
    <w:name w:val="FromFax"/>
    <w:basedOn w:val="Normal"/>
    <w:qFormat/>
    <w:pPr/>
    <w:rPr>
      <w:sz w:val="28"/>
    </w:rPr>
  </w:style>
  <w:style w:type="paragraph" w:styleId="Date">
    <w:name w:val="Date"/>
    <w:basedOn w:val="Normal"/>
    <w:qFormat/>
    <w:pPr>
      <w:spacing w:before="360" w:after="0"/>
    </w:pPr>
    <w:rPr>
      <w:sz w:val="28"/>
    </w:rPr>
  </w:style>
  <w:style w:type="paragraph" w:styleId="Pages">
    <w:name w:val="Pages"/>
    <w:basedOn w:val="Normal"/>
    <w:qFormat/>
    <w:pPr/>
    <w:rPr>
      <w:sz w:val="28"/>
    </w:rPr>
  </w:style>
  <w:style w:type="paragraph" w:styleId="Comments">
    <w:name w:val="Comments"/>
    <w:basedOn w:val="Normal"/>
    <w:next w:val="Normal"/>
    <w:qFormat/>
    <w:pPr>
      <w:spacing w:before="240" w:after="120"/>
    </w:pPr>
    <w:rPr>
      <w:b/>
      <w:sz w:val="28"/>
    </w:rPr>
  </w:style>
  <w:style w:type="paragraph" w:styleId="ToPhone">
    <w:name w:val="ToPhone"/>
    <w:basedOn w:val="ToCompany"/>
    <w:qFormat/>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val="false"/>
      <w:jc w:val="center"/>
    </w:pPr>
    <w:rPr>
      <w:rFonts w:ascii="Times New Roman" w:hAnsi="Times New Roman" w:cs="Times New Roman"/>
      <w:b/>
      <w:sz w:val="24"/>
      <w:lang w:eastAsia="en-US"/>
    </w:rPr>
  </w:style>
  <w:style w:type="paragraph" w:styleId="BodyTextIndent">
    <w:name w:val="Body Text Indent"/>
    <w:basedOn w:val="Normal"/>
    <w:pPr>
      <w:ind w:hanging="630" w:start="630" w:end="0"/>
      <w:jc w:val="both"/>
    </w:pPr>
    <w:rPr>
      <w:sz w:val="22"/>
    </w:rPr>
  </w:style>
  <w:style w:type="paragraph" w:styleId="BodyTextIndent2">
    <w:name w:val="Body Text Indent 2"/>
    <w:basedOn w:val="Normal"/>
    <w:qFormat/>
    <w:pPr>
      <w:ind w:hanging="630" w:start="720" w:end="0"/>
      <w:jc w:val="both"/>
    </w:pPr>
    <w:rPr>
      <w:sz w:val="22"/>
    </w:rPr>
  </w:style>
  <w:style w:type="paragraph" w:styleId="BodyTextIndent3">
    <w:name w:val="Body Text Indent 3"/>
    <w:basedOn w:val="Normal"/>
    <w:qFormat/>
    <w:pPr>
      <w:ind w:hanging="720" w:start="720" w:end="0"/>
    </w:pPr>
    <w:rPr>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2.jpeg"/><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Ectfax.dot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2001-02-28T21:10:00Z</dcterms:created>
  <dc:creator>Duncan A Croasdale</dc:creator>
  <dc:description/>
  <dc:language>en-CA</dc:language>
  <cp:lastModifiedBy>Duncan A Croasdale</cp:lastModifiedBy>
  <cp:lastPrinted>2000-09-21T09:40:00Z</cp:lastPrinted>
  <dcterms:modified xsi:type="dcterms:W3CDTF">2001-02-28T21:10:00Z</dcterms:modified>
  <cp:revision>2</cp:revision>
  <dc:subject/>
  <dc:title>Create a cover sheet for an Enron Capital &amp; Trade Resources fax.</dc:title>
</cp:coreProperties>
</file>