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Sender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 xml:space="preserve">Houston Pipeline </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Retention Award</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Normal"/>
        <w:tabs>
          <w:tab w:val="clear" w:pos="540"/>
          <w:tab w:val="left" w:pos="90" w:leader="none"/>
        </w:tabs>
        <w:spacing w:lineRule="atLeast" w:line="240"/>
        <w:ind w:start="270" w:end="540"/>
        <w:jc w:val="both"/>
        <w:rPr/>
      </w:pPr>
      <w:bookmarkStart w:id="3" w:name="StartOfMemo"/>
      <w:bookmarkEnd w:id="3"/>
      <w:r>
        <w:rPr>
          <w:rFonts w:cs="Helv;Arial" w:ascii="Helv;Arial" w:hAnsi="Helv;Arial"/>
          <w:color w:val="000000"/>
          <w:lang w:eastAsia="en-US"/>
        </w:rPr>
        <w:t xml:space="preserve">Houston Pipeline (HPL) has been an outstanding asset to Enron.  Additionally, the employees of HPL have been instrumental in the growth and success of the asset.  With the realignment of the wholesale business, it is unclear how HPL fits in the new strategy and direction of Enron Americas.  As you are aware, we have discussed the possibility of selling HPL and have been in discussions with several potential buyers.  The outcome of these discussions has not been finalized but we must ensure HPL’s continued success both in the short and long term.  To accomplish this, employees must remain committed, motivated and dedicated to their critical roles with HPL during what is recognized as an unsettling time.   To highlight our commitment to HPL’s continued success </w:t>
      </w:r>
      <w:r>
        <w:rPr>
          <w:rFonts w:cs="Helv;Arial" w:ascii="Helv;Arial" w:hAnsi="Helv;Arial"/>
          <w:b/>
          <w:color w:val="000000"/>
          <w:u w:val="single"/>
          <w:lang w:eastAsia="en-US"/>
        </w:rPr>
        <w:t>and</w:t>
      </w:r>
      <w:r>
        <w:rPr>
          <w:rFonts w:cs="Helv;Arial" w:ascii="Helv;Arial" w:hAnsi="Helv;Arial"/>
          <w:color w:val="000000"/>
          <w:lang w:eastAsia="en-US"/>
        </w:rPr>
        <w:t xml:space="preserve"> your role as a key player over the next few months, we are announcing a special retention plan as follows:</w:t>
      </w:r>
    </w:p>
    <w:p>
      <w:pPr>
        <w:pStyle w:val="Normal"/>
        <w:tabs>
          <w:tab w:val="clear" w:pos="540"/>
          <w:tab w:val="left" w:pos="90" w:leader="none"/>
        </w:tabs>
        <w:spacing w:lineRule="atLeast" w:line="240"/>
        <w:ind w:start="270" w:end="540"/>
        <w:jc w:val="both"/>
        <w:rPr>
          <w:rFonts w:ascii="Helv;Arial" w:hAnsi="Helv;Arial" w:eastAsia="Helv;Arial" w:cs="Helv;Arial"/>
          <w:color w:val="000000"/>
          <w:lang w:eastAsia="en-US"/>
        </w:rPr>
      </w:pPr>
      <w:r>
        <w:rPr>
          <w:rFonts w:eastAsia="Helv;Arial" w:cs="Helv;Arial" w:ascii="Helv;Arial" w:hAnsi="Helv;Arial"/>
          <w:color w:val="000000"/>
          <w:lang w:eastAsia="en-US"/>
        </w:rPr>
        <w:t xml:space="preserve"> </w:t>
      </w:r>
    </w:p>
    <w:p>
      <w:pPr>
        <w:pStyle w:val="Normal"/>
        <w:numPr>
          <w:ilvl w:val="0"/>
          <w:numId w:val="3"/>
        </w:numPr>
        <w:tabs>
          <w:tab w:val="clear" w:pos="540"/>
          <w:tab w:val="left" w:pos="90" w:leader="none"/>
          <w:tab w:val="left" w:pos="1080" w:leader="none"/>
        </w:tabs>
        <w:spacing w:lineRule="atLeast" w:line="240"/>
        <w:ind w:firstLine="540" w:start="270" w:end="540"/>
        <w:jc w:val="both"/>
        <w:rPr>
          <w:rFonts w:ascii="Helv;Arial" w:hAnsi="Helv;Arial" w:cs="Helv;Arial"/>
          <w:color w:val="000000"/>
          <w:lang w:eastAsia="en-US"/>
        </w:rPr>
      </w:pPr>
      <w:r>
        <w:rPr>
          <w:rFonts w:cs="Helv;Arial" w:ascii="Helv;Arial" w:hAnsi="Helv;Arial"/>
          <w:color w:val="000000"/>
          <w:lang w:eastAsia="en-US"/>
        </w:rPr>
        <w:t>ENA employees who continue to support HPL will be granted a monetary award to be paid the earlier of: (i) the definitive transfer of HPL to a third party, or (ii) [</w:t>
      </w:r>
      <w:r>
        <w:rPr>
          <w:rFonts w:cs="Helv;Arial" w:ascii="Helv;Arial" w:hAnsi="Helv;Arial"/>
          <w:b/>
          <w:color w:val="FF0000"/>
          <w:lang w:eastAsia="en-US"/>
        </w:rPr>
        <w:t>July 1, 2001</w:t>
      </w:r>
      <w:r>
        <w:rPr>
          <w:rFonts w:cs="Helv;Arial" w:ascii="Helv;Arial" w:hAnsi="Helv;Arial"/>
          <w:color w:val="000000"/>
          <w:lang w:eastAsia="en-US"/>
        </w:rPr>
        <w:t xml:space="preserve">]. </w:t>
      </w:r>
    </w:p>
    <w:p>
      <w:pPr>
        <w:pStyle w:val="Normal"/>
        <w:tabs>
          <w:tab w:val="clear" w:pos="540"/>
          <w:tab w:val="left" w:pos="90" w:leader="none"/>
        </w:tabs>
        <w:spacing w:lineRule="atLeast" w:line="240"/>
        <w:ind w:hanging="540" w:start="270" w:end="540"/>
        <w:jc w:val="both"/>
        <w:rPr>
          <w:rFonts w:ascii="Helv;Arial" w:hAnsi="Helv;Arial" w:cs="Helv;Arial"/>
          <w:color w:val="000000"/>
          <w:lang w:eastAsia="en-US"/>
        </w:rPr>
      </w:pPr>
      <w:r>
        <w:rPr>
          <w:rFonts w:cs="Helv;Arial" w:ascii="Helv;Arial" w:hAnsi="Helv;Arial"/>
          <w:color w:val="000000"/>
          <w:lang w:eastAsia="en-US"/>
        </w:rPr>
      </w:r>
    </w:p>
    <w:p>
      <w:pPr>
        <w:pStyle w:val="Normal"/>
        <w:numPr>
          <w:ilvl w:val="0"/>
          <w:numId w:val="2"/>
        </w:numPr>
        <w:tabs>
          <w:tab w:val="clear" w:pos="540"/>
          <w:tab w:val="left" w:pos="90" w:leader="none"/>
          <w:tab w:val="left" w:pos="1080" w:leader="none"/>
        </w:tabs>
        <w:spacing w:lineRule="atLeast" w:line="240"/>
        <w:ind w:firstLine="540" w:start="270" w:end="540"/>
        <w:jc w:val="both"/>
        <w:rPr>
          <w:rFonts w:ascii="Helv;Arial" w:hAnsi="Helv;Arial" w:cs="Helv;Arial"/>
          <w:color w:val="000000"/>
          <w:lang w:eastAsia="en-US"/>
        </w:rPr>
      </w:pPr>
      <w:r>
        <w:rPr>
          <w:rFonts w:cs="Helv;Arial" w:ascii="Helv;Arial" w:hAnsi="Helv;Arial"/>
          <w:color w:val="000000"/>
          <w:lang w:eastAsia="en-US"/>
        </w:rPr>
        <w:t>Year-end 2000 bonuses for HPL employees will not be affected by the potential transaction. The bonus payouts provide a further signal as to Enron's commitment to keep HPL functioning at a high level of performance during the winter months.</w:t>
      </w:r>
    </w:p>
    <w:p>
      <w:pPr>
        <w:pStyle w:val="Normal"/>
        <w:tabs>
          <w:tab w:val="clear" w:pos="540"/>
          <w:tab w:val="left" w:pos="90" w:leader="none"/>
        </w:tabs>
        <w:spacing w:lineRule="atLeast" w:line="240"/>
        <w:ind w:hanging="540" w:start="270" w:end="540"/>
        <w:jc w:val="both"/>
        <w:rPr>
          <w:rFonts w:ascii="Helv;Arial" w:hAnsi="Helv;Arial" w:cs="Helv;Arial"/>
          <w:color w:val="000000"/>
          <w:lang w:eastAsia="en-US"/>
        </w:rPr>
      </w:pPr>
      <w:r>
        <w:rPr>
          <w:rFonts w:cs="Helv;Arial" w:ascii="Helv;Arial" w:hAnsi="Helv;Arial"/>
          <w:color w:val="000000"/>
          <w:lang w:eastAsia="en-US"/>
        </w:rPr>
      </w:r>
    </w:p>
    <w:p>
      <w:pPr>
        <w:pStyle w:val="Normal"/>
        <w:tabs>
          <w:tab w:val="clear" w:pos="540"/>
          <w:tab w:val="left" w:pos="90" w:leader="none"/>
        </w:tabs>
        <w:spacing w:lineRule="atLeast" w:line="240"/>
        <w:ind w:start="270" w:end="540"/>
        <w:jc w:val="both"/>
        <w:rPr>
          <w:rFonts w:ascii="Helv;Arial" w:hAnsi="Helv;Arial" w:cs="Helv;Arial"/>
          <w:color w:val="000000"/>
          <w:lang w:eastAsia="en-US"/>
        </w:rPr>
      </w:pPr>
      <w:r>
        <w:rPr>
          <w:rFonts w:cs="Helv;Arial" w:ascii="Helv;Arial" w:hAnsi="Helv;Arial"/>
          <w:color w:val="000000"/>
          <w:lang w:eastAsia="en-US"/>
        </w:rPr>
        <w:t>The potential new owners are very enthusiastic and realize that our employees are key to the continued success of HPL.   Employment arrangements with the potential new owner have not yet been finalized and those details will be communicated at a later date.</w:t>
      </w:r>
    </w:p>
    <w:p>
      <w:pPr>
        <w:pStyle w:val="Normal"/>
        <w:tabs>
          <w:tab w:val="clear" w:pos="540"/>
          <w:tab w:val="left" w:pos="90" w:leader="none"/>
        </w:tabs>
        <w:spacing w:lineRule="atLeast" w:line="240"/>
        <w:ind w:start="270" w:end="540"/>
        <w:jc w:val="both"/>
        <w:rPr>
          <w:rFonts w:ascii="Helv;Arial" w:hAnsi="Helv;Arial" w:cs="Helv;Arial"/>
          <w:color w:val="000000"/>
          <w:lang w:eastAsia="en-US"/>
        </w:rPr>
      </w:pPr>
      <w:r>
        <w:rPr>
          <w:rFonts w:cs="Helv;Arial" w:ascii="Helv;Arial" w:hAnsi="Helv;Arial"/>
          <w:color w:val="000000"/>
          <w:lang w:eastAsia="en-US"/>
        </w:rPr>
      </w:r>
    </w:p>
    <w:p>
      <w:pPr>
        <w:pStyle w:val="Normal"/>
        <w:tabs>
          <w:tab w:val="clear" w:pos="540"/>
          <w:tab w:val="left" w:pos="90" w:leader="none"/>
        </w:tabs>
        <w:spacing w:lineRule="atLeast" w:line="240"/>
        <w:ind w:start="270" w:end="540"/>
        <w:jc w:val="both"/>
        <w:rPr/>
      </w:pPr>
      <w:r>
        <w:rPr>
          <w:rFonts w:cs="Helv;Arial" w:ascii="Helv;Arial" w:hAnsi="Helv;Arial"/>
          <w:lang w:eastAsia="en-US"/>
        </w:rPr>
        <w:t xml:space="preserve">The amount of your motivational incentive award will be </w:t>
      </w:r>
      <w:r>
        <w:rPr>
          <w:rFonts w:cs="Helv;Arial" w:ascii="Helv;Arial" w:hAnsi="Helv;Arial"/>
          <w:b/>
          <w:color w:val="FF0000"/>
          <w:lang w:eastAsia="en-US"/>
        </w:rPr>
        <w:t>&lt; $$$  &gt;.</w:t>
      </w:r>
      <w:r>
        <w:rPr/>
        <w:t xml:space="preserve">  It is expected that you will keep this amount strictly confidential.  Any breach of this requirement will cause the award to be withdrawn.</w:t>
      </w:r>
    </w:p>
    <w:p>
      <w:pPr>
        <w:pStyle w:val="Normal"/>
        <w:tabs>
          <w:tab w:val="clear" w:pos="540"/>
          <w:tab w:val="left" w:pos="90" w:leader="none"/>
        </w:tabs>
        <w:spacing w:lineRule="atLeast" w:line="240"/>
        <w:ind w:hanging="720" w:start="720" w:end="90"/>
        <w:jc w:val="both"/>
        <w:rPr>
          <w:rFonts w:ascii="Helv;Arial" w:hAnsi="Helv;Arial" w:cs="Helv;Arial"/>
          <w:color w:val="000000"/>
          <w:lang w:eastAsia="en-US"/>
        </w:rPr>
      </w:pPr>
      <w:r>
        <w:rPr>
          <w:rFonts w:cs="Helv;Arial" w:ascii="Helv;Arial" w:hAnsi="Helv;Arial"/>
          <w:color w:val="000000"/>
          <w:lang w:eastAsia="en-US"/>
        </w:rPr>
      </w:r>
    </w:p>
    <w:p>
      <w:pPr>
        <w:pStyle w:val="Normal"/>
        <w:tabs>
          <w:tab w:val="clear" w:pos="540"/>
          <w:tab w:val="left" w:pos="90" w:leader="none"/>
        </w:tabs>
        <w:spacing w:lineRule="atLeast" w:line="240"/>
        <w:ind w:start="270" w:end="540"/>
        <w:jc w:val="both"/>
        <w:rPr>
          <w:rFonts w:ascii="Helv;Arial" w:hAnsi="Helv;Arial" w:cs="Helv;Arial"/>
          <w:color w:val="000000"/>
          <w:lang w:eastAsia="en-US"/>
        </w:rPr>
      </w:pPr>
      <w:r>
        <w:rPr>
          <w:rFonts w:cs="Helv;Arial" w:ascii="Helv;Arial" w:hAnsi="Helv;Arial"/>
          <w:color w:val="000000"/>
          <w:lang w:eastAsia="en-US"/>
        </w:rPr>
        <w:t>Thank you for your continued support of HPL.   Please direct any questions to Fran Mayes, Human Resources, at 853-7211.</w:t>
      </w:r>
    </w:p>
    <w:p>
      <w:pPr>
        <w:pStyle w:val="Normal"/>
        <w:tabs>
          <w:tab w:val="clear" w:pos="540"/>
          <w:tab w:val="left" w:pos="90" w:leader="none"/>
        </w:tabs>
        <w:spacing w:lineRule="atLeast" w:line="240"/>
        <w:ind w:start="270" w:end="540"/>
        <w:jc w:val="both"/>
        <w:rPr>
          <w:rFonts w:ascii="Helv;Arial" w:hAnsi="Helv;Arial" w:cs="Helv;Arial"/>
          <w:color w:val="000000"/>
          <w:lang w:eastAsia="en-US"/>
        </w:rPr>
      </w:pPr>
      <w:r>
        <w:rPr>
          <w:rFonts w:cs="Helv;Arial" w:ascii="Helv;Arial" w:hAnsi="Helv;Arial"/>
          <w:color w:val="000000"/>
          <w:lang w:eastAsia="en-US"/>
        </w:rPr>
      </w:r>
    </w:p>
    <w:p>
      <w:pPr>
        <w:pStyle w:val="Body"/>
        <w:rPr>
          <w:rFonts w:ascii="Helv;Arial" w:hAnsi="Helv;Arial" w:cs="Helv;Arial"/>
          <w:color w:val="000000"/>
          <w:lang w:eastAsia="en-US"/>
        </w:rPr>
      </w:pPr>
      <w:r>
        <w:rPr>
          <w:rFonts w:cs="Helv;Arial" w:ascii="Helv;Arial" w:hAnsi="Helv;Arial"/>
          <w:color w:val="000000"/>
          <w:lang w:eastAsia="en-US"/>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90" w:leader="none"/>
      </w:tabs>
      <w:spacing w:lineRule="atLeast" w:line="240"/>
      <w:ind w:hanging="0" w:start="0" w:end="90"/>
      <w:jc w:val="both"/>
    </w:pPr>
    <w:rPr>
      <w:rFonts w:ascii="Helv;Arial" w:hAnsi="Helv;Arial" w:cs="Helv;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tabs>
        <w:tab w:val="clear" w:pos="540"/>
        <w:tab w:val="left" w:pos="90" w:leader="none"/>
      </w:tabs>
      <w:spacing w:lineRule="atLeast" w:line="240"/>
      <w:ind w:hanging="0" w:start="270" w:end="540"/>
      <w:jc w:val="both"/>
    </w:pPr>
    <w:rPr>
      <w:rFonts w:ascii="Helv;Arial" w:hAnsi="Helv;Arial" w:cs="Helv;Arial"/>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2000-11-10T12:37:00Z</dcterms:created>
  <dc:creator>fmayes</dc:creator>
  <dc:description/>
  <dc:language>en-CA</dc:language>
  <cp:lastModifiedBy>fmayes</cp:lastModifiedBy>
  <cp:lastPrinted>2000-11-10T09:23:00Z</cp:lastPrinted>
  <dcterms:modified xsi:type="dcterms:W3CDTF">2000-11-10T12:53:00Z</dcterms:modified>
  <cp:revision>3</cp:revision>
  <dc:subject/>
  <dc:title>Better, Faster, Simpler Memo </dc:title>
</cp:coreProperties>
</file>