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EUROPEAN TRIP REPORT   21 – 30 JAN 2000</w:t>
      </w:r>
    </w:p>
    <w:p>
      <w:pPr>
        <w:pStyle w:val="Normal"/>
        <w:rPr>
          <w:b/>
          <w:sz w:val="24"/>
        </w:rPr>
      </w:pPr>
      <w:r>
        <w:rPr>
          <w:b/>
          <w:sz w:val="24"/>
        </w:rPr>
      </w:r>
    </w:p>
    <w:p>
      <w:pPr>
        <w:pStyle w:val="Normal"/>
        <w:rPr>
          <w:b/>
          <w:sz w:val="24"/>
        </w:rPr>
      </w:pPr>
      <w:r>
        <w:rPr>
          <w:b/>
          <w:sz w:val="24"/>
        </w:rPr>
        <w:t>1/21 Meeting with Jan-Willem van de Ven, Edon NV</w:t>
      </w:r>
    </w:p>
    <w:p>
      <w:pPr>
        <w:pStyle w:val="Normal"/>
        <w:rPr/>
      </w:pPr>
      <w:r>
        <w:rPr>
          <w:b/>
          <w:sz w:val="24"/>
        </w:rPr>
        <w:t>Company information:</w:t>
      </w:r>
      <w:r>
        <w:rPr>
          <w:sz w:val="24"/>
        </w:rPr>
        <w:t xml:space="preserve"> Edon is being reorganized and his part of the company is being named “Essent Sustainable” and divided into four departments covering the following areas: large wind, development and realization, trade and ecolabels (e.g. green power) and integral approaches for the built environment (new constructions) and international growth.</w:t>
      </w:r>
    </w:p>
    <w:p>
      <w:pPr>
        <w:pStyle w:val="Normal"/>
        <w:rPr>
          <w:sz w:val="24"/>
        </w:rPr>
      </w:pPr>
      <w:r>
        <w:rPr>
          <w:sz w:val="24"/>
        </w:rPr>
        <w:t xml:space="preserve">  </w:t>
      </w:r>
      <w:r>
        <w:rPr>
          <w:sz w:val="24"/>
        </w:rPr>
        <w:t>They have the largest market share in green power, and were one of the first companies in the world for green power offerings – before California.  They’re considering offering “climate friendly” power.</w:t>
      </w:r>
    </w:p>
    <w:p>
      <w:pPr>
        <w:pStyle w:val="Normal"/>
        <w:rPr>
          <w:sz w:val="24"/>
        </w:rPr>
      </w:pPr>
      <w:r>
        <w:rPr>
          <w:sz w:val="24"/>
        </w:rPr>
        <w:t xml:space="preserve">  </w:t>
      </w:r>
      <w:r>
        <w:rPr>
          <w:sz w:val="24"/>
        </w:rPr>
        <w:t>Work on climate change: 5 AIJ projects (cogen, natural gas, biomass and wind) in Latvia, Poland, and another company.  They’ve taken about two years of work to do. His view was that they are not so difficult, finding, selecting, developing and financing is not the problem – host country capabilities and demand for carbon is what is really needed to get the market moving.  They’re interested in making money from trading and projects and are aware they operate in a small market which will soon have more competitors.</w:t>
      </w:r>
    </w:p>
    <w:p>
      <w:pPr>
        <w:pStyle w:val="BodyText"/>
        <w:rPr/>
      </w:pPr>
      <w:r>
        <w:rPr/>
        <w:t>CONCLUSION:  some interest, but not overly enthusiastic.  Ball in their court.</w:t>
      </w:r>
    </w:p>
    <w:p>
      <w:pPr>
        <w:pStyle w:val="BodyText"/>
        <w:rPr/>
      </w:pPr>
      <w:r>
        <w:rPr/>
      </w:r>
    </w:p>
    <w:p>
      <w:pPr>
        <w:pStyle w:val="Normal"/>
        <w:rPr/>
      </w:pPr>
      <w:r>
        <w:rPr>
          <w:b/>
          <w:sz w:val="24"/>
        </w:rPr>
        <w:t xml:space="preserve">Netherlands information:  </w:t>
      </w:r>
      <w:r>
        <w:rPr>
          <w:sz w:val="24"/>
        </w:rPr>
        <w:t>Big news is that Dutch government announced 1/19 that they will contribute $10 million to the WB PCF.</w:t>
      </w:r>
      <w:r>
        <w:rPr>
          <w:sz w:val="24"/>
          <w:u w:val="single"/>
        </w:rPr>
        <w:t xml:space="preserve"> </w:t>
      </w:r>
    </w:p>
    <w:p>
      <w:pPr>
        <w:pStyle w:val="Normal"/>
        <w:rPr/>
      </w:pPr>
      <w:r>
        <w:rPr>
          <w:sz w:val="24"/>
          <w:u w:val="single"/>
        </w:rPr>
        <w:t>Trading:</w:t>
      </w:r>
      <w:r>
        <w:rPr>
          <w:sz w:val="24"/>
        </w:rPr>
        <w:t xml:space="preserve"> companies (employer board) have generally been against a trading scheme but they see some interest in Australia, New Zealand and US efforts in this area.  Voluntary commitments that the biggest 100 companies in NL will be in the top 10% for energy </w:t>
      </w:r>
    </w:p>
    <w:p>
      <w:pPr>
        <w:pStyle w:val="BodyText"/>
        <w:rPr>
          <w:b/>
        </w:rPr>
      </w:pPr>
      <w:r>
        <w:rPr/>
        <w:t>efficiency. Would like to see cap with a pilot trading project in the next 2 yrs., but this depends on the relationship to the ecotax.  They’ve achieved a decrease of 3 million tons of CO2 from the ecolabel efforts over the past 10 years.  Government has a budget for buying credits.</w:t>
      </w:r>
    </w:p>
    <w:p>
      <w:pPr>
        <w:pStyle w:val="Normal"/>
        <w:rPr/>
      </w:pPr>
      <w:r>
        <w:rPr>
          <w:sz w:val="24"/>
          <w:u w:val="single"/>
        </w:rPr>
        <w:t>Project financing</w:t>
      </w:r>
      <w:r>
        <w:rPr>
          <w:sz w:val="24"/>
        </w:rPr>
        <w:t xml:space="preserve"> – Many green funds in Netherlands (over $1 billion) that loan at 4% interest to companies doing green projects. </w:t>
      </w:r>
    </w:p>
    <w:p>
      <w:pPr>
        <w:pStyle w:val="BodyText"/>
        <w:rPr/>
      </w:pPr>
      <w:r>
        <w:rPr>
          <w:u w:val="single"/>
        </w:rPr>
        <w:t>Electricity market</w:t>
      </w:r>
      <w:r>
        <w:rPr/>
        <w:t xml:space="preserve"> - Going through re-structuring and big European companies as well as some American companies are moving into the Dutch market, (check this) but it seems the de-reg is focused on distribution companies. At present, the largest 200 users of electricity are free to choose, small-medium enterprises in 2001, and consumers in 2002.  Distribution companies are charging .03 in winter and .01 in summer to buy market share.  Current generating mix – import 20%, and rest is essentially half coal, half gas. Green power is currently being sold for below market price due to the exemption for the ecotax (4.5 per kwh).</w:t>
      </w:r>
    </w:p>
    <w:p>
      <w:pPr>
        <w:pStyle w:val="Normal"/>
        <w:rPr/>
      </w:pPr>
      <w:r>
        <w:rPr>
          <w:sz w:val="24"/>
          <w:u w:val="single"/>
        </w:rPr>
        <w:t>EU issues</w:t>
      </w:r>
      <w:r>
        <w:rPr>
          <w:sz w:val="24"/>
        </w:rPr>
        <w:t>- target for renewable energy generation in Europe is 8% by 2012, 10% by 2020.  Distribution companies in NL have a target for 3% renewable energy with (if I understood correctly- it seems odd) penalties paid to those companies who do reach the target.</w:t>
      </w:r>
    </w:p>
    <w:p>
      <w:pPr>
        <w:pStyle w:val="Normal"/>
        <w:rPr>
          <w:sz w:val="24"/>
        </w:rPr>
      </w:pPr>
      <w:r>
        <w:rPr>
          <w:sz w:val="24"/>
        </w:rPr>
      </w:r>
    </w:p>
    <w:p>
      <w:pPr>
        <w:pStyle w:val="BodyText2"/>
        <w:rPr/>
      </w:pPr>
      <w:r>
        <w:rPr/>
        <w:t>1/24-25  UNEP Expert Group meeting on assessment of investment projects for sustainable development</w:t>
      </w:r>
    </w:p>
    <w:p>
      <w:pPr>
        <w:pStyle w:val="Normal"/>
        <w:rPr>
          <w:sz w:val="24"/>
        </w:rPr>
      </w:pPr>
      <w:r>
        <w:rPr>
          <w:sz w:val="24"/>
        </w:rPr>
        <w:t>Pros:  Networking and literature. Met more people interested in these issues and found two potential NewCo partners to meet with – Credit Suisse First Boston and Gerling’s Sustainable Development Project Company.</w:t>
      </w:r>
    </w:p>
    <w:p>
      <w:pPr>
        <w:pStyle w:val="Normal"/>
        <w:rPr>
          <w:sz w:val="24"/>
        </w:rPr>
      </w:pPr>
      <w:r>
        <w:rPr>
          <w:sz w:val="24"/>
        </w:rPr>
        <w:t>Cons: Meeting was not what was billed, lacked focus, and not geared toward our specific needs of project development information and consensus.</w:t>
      </w:r>
    </w:p>
    <w:p>
      <w:pPr>
        <w:pStyle w:val="Normal"/>
        <w:rPr>
          <w:sz w:val="24"/>
        </w:rPr>
      </w:pPr>
      <w:r>
        <w:rPr>
          <w:sz w:val="24"/>
        </w:rPr>
        <w:t xml:space="preserve">   </w:t>
      </w:r>
      <w:r>
        <w:rPr>
          <w:sz w:val="24"/>
        </w:rPr>
        <w:t xml:space="preserve">Credit Suisse First Boston and Gerling are both thinking along the same lines we are – business ventures in climate change/sustainable development investments.  Both men were interested when I presented a basic overview of our plans to them – partnering with other companies to make a business out of clean energy CDM/JI investments.  Gerling has been talking to Swiss Re and UBS about climate issues, and as a reinsurer has unique access and interest to governments in developing countries and their policies/regulatory systems. They are working on a CDM project in Tunisia and have been considering many sorts of climate investments &amp; business venture options. CS1B has been talking with Bechtel about sustainable development investments.   </w:t>
      </w:r>
    </w:p>
    <w:p>
      <w:pPr>
        <w:pStyle w:val="Normal"/>
        <w:rPr/>
      </w:pPr>
      <w:r>
        <w:rPr>
          <w:i/>
          <w:sz w:val="24"/>
        </w:rPr>
        <w:t xml:space="preserve">     </w:t>
      </w:r>
      <w:r>
        <w:rPr>
          <w:i/>
          <w:sz w:val="24"/>
        </w:rPr>
        <w:t>Follow-up:</w:t>
      </w:r>
      <w:r>
        <w:rPr>
          <w:sz w:val="24"/>
        </w:rPr>
        <w:t xml:space="preserve"> Bernd Schanzenbaecher of CS1B will e-mail me with his contact in their Boston office – former CEO who is now their Senior Advisor and is very interested in climate change.  We should also send a follow-up message to Dirk Kohler of Gerling.</w:t>
      </w:r>
    </w:p>
    <w:p>
      <w:pPr>
        <w:pStyle w:val="Normal"/>
        <w:rPr>
          <w:sz w:val="24"/>
        </w:rPr>
      </w:pPr>
      <w:r>
        <w:rPr>
          <w:sz w:val="24"/>
        </w:rPr>
      </w:r>
    </w:p>
    <w:p>
      <w:pPr>
        <w:pStyle w:val="Normal"/>
        <w:rPr>
          <w:sz w:val="24"/>
        </w:rPr>
      </w:pPr>
      <w:r>
        <w:rPr>
          <w:sz w:val="24"/>
        </w:rPr>
        <w:t>1/26-28 LONDON</w:t>
      </w:r>
    </w:p>
    <w:p>
      <w:pPr>
        <w:pStyle w:val="Normal"/>
        <w:rPr/>
      </w:pPr>
      <w:r>
        <w:rPr>
          <w:b/>
          <w:sz w:val="24"/>
        </w:rPr>
        <w:t xml:space="preserve">Martin Bartlam, Credit Lyonnais: </w:t>
      </w:r>
      <w:r>
        <w:rPr>
          <w:sz w:val="24"/>
        </w:rPr>
        <w:t>They are exploring creating a fund to offer “gap financing” of CDM projects – intermediate capital, subordinated debt, equity that project partners don’t want to take on. The fund would also buy, sell and manage GHG credits.  This design is envisioned to help address concerns of financial additionality.  They are focusing on the CDM because of the problems in financing “sustainable development projects” (smaller scale, etc.) in developing countries and because the CDM can start sooner and does not rely on so much legislation as JI projects in Annex 1 countries.</w:t>
      </w:r>
    </w:p>
    <w:p>
      <w:pPr>
        <w:pStyle w:val="Normal"/>
        <w:rPr>
          <w:sz w:val="24"/>
        </w:rPr>
      </w:pPr>
      <w:r>
        <w:rPr>
          <w:sz w:val="24"/>
        </w:rPr>
        <w:t xml:space="preserve">  </w:t>
      </w:r>
      <w:r>
        <w:rPr>
          <w:sz w:val="24"/>
        </w:rPr>
        <w:t xml:space="preserve">They have been talking with a few other companies in various countries (he specifically mentioned SFE, EBS and Arthur Anderson for instance) – others who have experience in certification, verification and audits.  Their goals are to provide financing and financial advisory services.  </w:t>
      </w:r>
    </w:p>
    <w:p>
      <w:pPr>
        <w:pStyle w:val="Normal"/>
        <w:rPr>
          <w:sz w:val="24"/>
        </w:rPr>
      </w:pPr>
      <w:r>
        <w:rPr>
          <w:sz w:val="24"/>
        </w:rPr>
        <w:t xml:space="preserve">   </w:t>
      </w:r>
      <w:r>
        <w:rPr>
          <w:sz w:val="24"/>
        </w:rPr>
        <w:t>He was interested in our plans and we both wondered whether our efforts would (could) be complementary – or whether they would be competitive.  We agreed to think about it and get back in touch mid-February.</w:t>
      </w:r>
    </w:p>
    <w:p>
      <w:pPr>
        <w:pStyle w:val="Normal"/>
        <w:rPr>
          <w:sz w:val="24"/>
        </w:rPr>
      </w:pPr>
      <w:r>
        <w:rPr>
          <w:sz w:val="24"/>
        </w:rPr>
        <w:t xml:space="preserve"> </w:t>
      </w:r>
    </w:p>
    <w:p>
      <w:pPr>
        <w:pStyle w:val="Normal"/>
        <w:rPr/>
      </w:pPr>
      <w:r>
        <w:rPr>
          <w:b/>
          <w:sz w:val="24"/>
        </w:rPr>
        <w:t>Christian Vrolijk, RIIA:</w:t>
      </w:r>
      <w:r>
        <w:rPr>
          <w:sz w:val="24"/>
        </w:rPr>
        <w:t xml:space="preserve">  He is working on two primary “projects” – a study of electricity restructuring efforts in France, UK, Netherlands, Denmark, Germany and Italy and their relation to climate change (in effect and policy).  He is also working with Michael Grubb (the lead) on a “bid” for a new UK Climate Change Centre (the other bidder is Univ. of East Anglia) which is meant to take an inter-disciplinary approach in both work and staffing.  There will be opportunities for fellows and visitors from the business and NGO sectors. If we are interested in becoming involved in some way it is probably best to contact Michael Grubb, or Vrolijk. The proposal is due shortly and they expect to hear in April and will probably announce the Centre at Bonn in June.</w:t>
      </w:r>
    </w:p>
    <w:p>
      <w:pPr>
        <w:pStyle w:val="Normal"/>
        <w:rPr>
          <w:b/>
          <w:sz w:val="24"/>
        </w:rPr>
      </w:pPr>
      <w:r>
        <w:rPr>
          <w:b/>
          <w:sz w:val="24"/>
        </w:rPr>
      </w:r>
    </w:p>
    <w:p>
      <w:pPr>
        <w:pStyle w:val="Normal"/>
        <w:rPr/>
      </w:pPr>
      <w:r>
        <w:rPr>
          <w:b/>
          <w:sz w:val="24"/>
        </w:rPr>
        <w:t>Matt Evans, IPE:</w:t>
      </w:r>
      <w:r>
        <w:rPr>
          <w:sz w:val="24"/>
        </w:rPr>
        <w:t xml:space="preserve"> We spoke about the ETG – the Emissions trading working group which has sub-committees to deal with specific issues. This was formed loosely a few years ago and has become somewhat institutionalized as the UK Government has stated that industry should take the lead in developing an emissions trading scheme.  The climate change levy on large consumers of energy is scheduled to come into force in April 2001, thus it is hoped that the emissions trading scheme will start at that time also.</w:t>
      </w:r>
    </w:p>
    <w:p>
      <w:pPr>
        <w:pStyle w:val="Normal"/>
        <w:rPr/>
      </w:pPr>
      <w:r>
        <w:rPr>
          <w:i/>
          <w:sz w:val="24"/>
        </w:rPr>
        <w:t>Items they are discussing:</w:t>
      </w:r>
      <w:r>
        <w:rPr>
          <w:sz w:val="24"/>
        </w:rPr>
        <w:t xml:space="preserve"> types of engagement - absolute or unit-based targets.  Industry wants a choice and most have chosen unit-based. However, this worries the government and makes them inclined to set limits on the unit-based trading (which in turn, concerns the IPE as not providing enough liquidity in the market).</w:t>
      </w:r>
    </w:p>
    <w:p>
      <w:pPr>
        <w:pStyle w:val="Normal"/>
        <w:rPr/>
      </w:pPr>
      <w:r>
        <w:rPr>
          <w:i/>
          <w:sz w:val="24"/>
        </w:rPr>
        <w:t>Who is involved:</w:t>
      </w:r>
      <w:r>
        <w:rPr>
          <w:sz w:val="24"/>
        </w:rPr>
        <w:t xml:space="preserve"> large consumers of electricity who fall under the CCL may voluntarily  choose to enter the ET system in exchange for lowering or elimination of the levy.  At present, 20-25 companies are in it now and electricity producers are excluded from the levy.  There is discussion about providing for the participation of electricity producers from the point of view of both the government who is keen to get them involved (since they emit a substantial amount of emissions) and the producers themselves (see paper reporting on 1/24 meeting).  Consideration is being given to both parties as to the proper incentives for voluntary participation of electricity producers while attention to ensure avoidance of double counting of emissions (reductions) from upstream and downstream.</w:t>
      </w:r>
    </w:p>
    <w:p>
      <w:pPr>
        <w:pStyle w:val="BodyText"/>
        <w:rPr/>
      </w:pPr>
      <w:r>
        <w:rPr/>
        <w:t xml:space="preserve">   </w:t>
      </w:r>
      <w:r>
        <w:rPr/>
        <w:t>Matt was not certain whether the government would allow/include international trading (emission reductions from activities abroad) in the UK scheme – but as it is consistent with Kyoto he didn’t see any reason why they wouldn’t allow it. Additionally, as this is supposed to be an industry-led initiative, it was likely that international reductions would count.</w:t>
      </w:r>
    </w:p>
    <w:p>
      <w:pPr>
        <w:pStyle w:val="Normal"/>
        <w:rPr>
          <w:sz w:val="24"/>
        </w:rPr>
      </w:pPr>
      <w:r>
        <w:rPr>
          <w:sz w:val="24"/>
        </w:rPr>
        <w:t xml:space="preserve">   </w:t>
      </w:r>
      <w:r>
        <w:rPr>
          <w:sz w:val="24"/>
        </w:rPr>
        <w:t>We discussed some aspects of trading system – he favored an allowance cap and trade system as providing more certainty for markets and better for forward sales and an exchange-run type of market.  We also spoke of liability issues and he seemed to agree that from a sovereign point of view, it would be difficult to try and enforce seller liability. But that if the responsibility for reducing emissions devolved to the company level, then seller liability was needed as is the case in forward commodity markets.</w:t>
      </w:r>
    </w:p>
    <w:p>
      <w:pPr>
        <w:pStyle w:val="Normal"/>
        <w:rPr>
          <w:sz w:val="24"/>
        </w:rPr>
      </w:pPr>
      <w:r>
        <w:rPr>
          <w:sz w:val="24"/>
        </w:rPr>
        <w:t xml:space="preserve">   </w:t>
      </w:r>
      <w:r>
        <w:rPr>
          <w:sz w:val="24"/>
        </w:rPr>
        <w:t>Finally, he asked me about a meeting that Jack Schick of State Dept. had invited him to on March 7. Apparently it is some sort of informal meeting to discuss the role of exchanges in an emissions trading regime.  Matt also gave me some government contacts to call – Paul Lanser of DTI and Ian Coates of DETR and Andrew Holden at Treasury.</w:t>
      </w:r>
    </w:p>
    <w:p>
      <w:pPr>
        <w:pStyle w:val="Normal"/>
        <w:rPr>
          <w:b/>
          <w:sz w:val="24"/>
        </w:rPr>
      </w:pPr>
      <w:r>
        <w:rPr>
          <w:b/>
          <w:sz w:val="24"/>
        </w:rPr>
      </w:r>
    </w:p>
    <w:p>
      <w:pPr>
        <w:pStyle w:val="Normal"/>
        <w:rPr/>
      </w:pPr>
      <w:r>
        <w:rPr>
          <w:b/>
          <w:sz w:val="24"/>
        </w:rPr>
        <w:t>Ian Coates (DETR):</w:t>
      </w:r>
      <w:r>
        <w:rPr>
          <w:sz w:val="24"/>
        </w:rPr>
        <w:t xml:space="preserve">  We talked about the composition of the ETG -- government personnel sit on the working groups in “equal” participation with the industry representatives and more recently, some NGO have begun to participate, but in smaller numbers and less consistently.  The participation of NGO is seen as helpful in securing overall acceptance of the emissions trading scheme and those that are participating are trying to get some of their opinions into the design such as their preference for auctioned permits, and input on incentives and penalties.  Auctioned permits are difficult to institute in a voluntary scheme so it is unlikely this suggestion would be adopted.  </w:t>
      </w:r>
    </w:p>
    <w:p>
      <w:pPr>
        <w:pStyle w:val="Normal"/>
        <w:rPr>
          <w:sz w:val="24"/>
        </w:rPr>
      </w:pPr>
      <w:r>
        <w:rPr>
          <w:sz w:val="24"/>
        </w:rPr>
        <w:t xml:space="preserve">  </w:t>
      </w:r>
      <w:r>
        <w:rPr>
          <w:sz w:val="24"/>
        </w:rPr>
        <w:t xml:space="preserve">From the UK Government’s perspective, they see the benefits of getting an ET scheme as successful the market must be liquid and strong enough which means incentives must be found for those who are likely to purchase reductions to participate instead of just sellers. Allowing the system to interface with an international (or other national) system would create something of an additional incentive to participate and a stronger market.   Domestic JI types of activities are envisioned to be allowed.  Other incentives that industry favors are the ability to bank reductions for future mandatory caps and fiscal measures (e.g. a rebate is given if firms achieve their voluntary targets). This is difficult to work out as the CCL was designed to be revenue neutral – Treasury has designed the revenues to be used to begin a “green tax shift” that lowers employer health insurance contributions (which applies to businesses across the board not just those subject to the CCL.) </w:t>
      </w:r>
    </w:p>
    <w:p>
      <w:pPr>
        <w:pStyle w:val="Normal"/>
        <w:rPr>
          <w:sz w:val="24"/>
        </w:rPr>
      </w:pPr>
      <w:r>
        <w:rPr>
          <w:sz w:val="24"/>
        </w:rPr>
        <w:t xml:space="preserve">   </w:t>
      </w:r>
      <w:r>
        <w:rPr>
          <w:sz w:val="24"/>
        </w:rPr>
        <w:t>He confirmed that bringing in the upstream energy producers was desired, but as others mentioned, that this presented problems of double counting, and adequate incentives to participate.  Companies not subject to the climate change levy are welcome to participate – so that if a company was undertaking energy efficiency measures, they could adopt a target and trade in the system (if EES got a contract with Tesco for example).</w:t>
      </w:r>
    </w:p>
    <w:p>
      <w:pPr>
        <w:pStyle w:val="Normal"/>
        <w:rPr>
          <w:sz w:val="24"/>
        </w:rPr>
      </w:pPr>
      <w:r>
        <w:rPr>
          <w:sz w:val="24"/>
        </w:rPr>
        <w:t xml:space="preserve">   </w:t>
      </w:r>
      <w:r>
        <w:rPr>
          <w:sz w:val="24"/>
        </w:rPr>
        <w:t xml:space="preserve">We discussed briefly that the UK has not been very involved in the AIJ pilot phase.  They are setting up a “virtual office” to begin to get ready for JI and CDM projects but want business input in setting it up.  </w:t>
      </w:r>
    </w:p>
    <w:p>
      <w:pPr>
        <w:pStyle w:val="Normal"/>
        <w:rPr>
          <w:sz w:val="24"/>
        </w:rPr>
      </w:pPr>
      <w:r>
        <w:rPr>
          <w:sz w:val="24"/>
        </w:rPr>
        <w:t xml:space="preserve">   </w:t>
      </w:r>
      <w:r>
        <w:rPr>
          <w:sz w:val="24"/>
        </w:rPr>
        <w:t>There is some legislation that an ET scheme could be based upon – from the EU’s IPPC directive but as a secondary law it is somewhat limiting.  Although the system will be voluntary, the rules and structure will have to be codified.  Problems with getting laws passed to implement the system are not foreseen as it is a collaborative process for the design of a voluntary scheme.  Also, some attention is being paid to interactions with deregulation efforts.</w:t>
      </w:r>
    </w:p>
    <w:p>
      <w:pPr>
        <w:pStyle w:val="Normal"/>
        <w:rPr>
          <w:sz w:val="24"/>
        </w:rPr>
      </w:pPr>
      <w:r>
        <w:rPr>
          <w:sz w:val="24"/>
        </w:rPr>
      </w:r>
    </w:p>
    <w:p>
      <w:pPr>
        <w:pStyle w:val="Normal"/>
        <w:rPr/>
      </w:pPr>
      <w:r>
        <w:rPr>
          <w:b/>
          <w:sz w:val="24"/>
        </w:rPr>
        <w:t>Margaret Mogford, ETG</w:t>
      </w:r>
      <w:r>
        <w:rPr>
          <w:sz w:val="24"/>
        </w:rPr>
        <w:t xml:space="preserve">: She is seconded from British Gas to be in charge of the secretariat of the ETG.  ETG subcommittees are chaired by various members – BP Amoco chairs two (policy and technical) which in hindsight was probably not the best idea.  The ET scheme is designed as voluntary opt-in, but once in, a company cannot step out. ETG is actively developing adequate incentives to participate such as fiscal measures, rebates, etc.  The caps of the scheme are based on negotiated agreements. These took over 6 months to conclude and, to the government’s dismay, every industry but steel chose unit (efficiency) targets over absolute.  Problems with how to integrate unit and absolute targets into one system remain to be worked out. The system is likely to involve some sort of declining step formula (with safety valves).  </w:t>
      </w:r>
    </w:p>
    <w:p>
      <w:pPr>
        <w:pStyle w:val="Normal"/>
        <w:rPr>
          <w:sz w:val="24"/>
        </w:rPr>
      </w:pPr>
      <w:r>
        <w:rPr>
          <w:sz w:val="24"/>
        </w:rPr>
        <w:t xml:space="preserve">  </w:t>
      </w:r>
      <w:r>
        <w:rPr>
          <w:sz w:val="24"/>
        </w:rPr>
        <w:t>She, like Matt Evans and Ian Coates, all expressed dismay that Enron was not fully participating in the ETG – both from the signal it sends (“big bad traders” not participating in shaping a trading system) and that they would benefit from Enron’s expertise in this area.</w:t>
      </w:r>
    </w:p>
    <w:p>
      <w:pPr>
        <w:pStyle w:val="Normal"/>
        <w:rPr>
          <w:sz w:val="24"/>
        </w:rPr>
      </w:pPr>
      <w:r>
        <w:rPr>
          <w:sz w:val="24"/>
        </w:rPr>
      </w:r>
    </w:p>
    <w:p>
      <w:pPr>
        <w:pStyle w:val="Normal"/>
        <w:rPr/>
      </w:pPr>
      <w:r>
        <w:rPr>
          <w:b/>
          <w:sz w:val="24"/>
        </w:rPr>
        <w:t>Anthony Sampson, CGU</w:t>
      </w:r>
      <w:r>
        <w:rPr>
          <w:sz w:val="24"/>
        </w:rPr>
        <w:t xml:space="preserve"> (formerly General Accident):  He is Head of Environmental Management for the whole corporation, though the various companies in CGU act fairly independently determining their own Environmental Management Systems based on their businesses. CGU is involved in a variety of Corporate Responsibility efforts (e.g. Prince of Wales Business Leaders Forum). They published a 1999 Preliminary Environmental Report, this year will be the first and last Environmental Report as in 2001 it will be broader – a “Corporate Responsibility Report”. He mentioned that “Business In the Environment” (BIE) and the </w:t>
      </w:r>
      <w:r>
        <w:rPr>
          <w:i/>
          <w:sz w:val="24"/>
        </w:rPr>
        <w:t>Financial Times</w:t>
      </w:r>
      <w:r>
        <w:rPr>
          <w:sz w:val="24"/>
        </w:rPr>
        <w:t xml:space="preserve"> publish an annual index of Corporate Engagement that last year showed 77% of the FTSE-100 were in involved in “corporate responsibility” efforts.</w:t>
      </w:r>
    </w:p>
    <w:p>
      <w:pPr>
        <w:pStyle w:val="Normal"/>
        <w:rPr>
          <w:sz w:val="24"/>
        </w:rPr>
      </w:pPr>
      <w:r>
        <w:rPr>
          <w:sz w:val="24"/>
        </w:rPr>
        <w:t xml:space="preserve">   </w:t>
      </w:r>
      <w:r>
        <w:rPr>
          <w:sz w:val="24"/>
        </w:rPr>
        <w:t>Sampson said that asset management or possibly their property development companies might be the most appropriate divisions to be involved – particularly the Netherlands or UK companies. He viewed the opportunity to invest in the climate change business as a way they could align their values of investing in environmentally responsible efforts into asset management. Their timeline for considering involvement may be a little later than what we were hoping for (summer) but they may be less interested in helping to design the system as investing in a more detailed, ready-made opportunity.   We left it that we’d keep in touch and should get back to them in May-June if we’d like to offer them a chance to invest.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2"/>
      <w:type w:val="nextPage"/>
      <w:pgSz w:w="12240" w:h="15840"/>
      <w:pgMar w:left="1584" w:right="1440" w:gutter="0" w:header="72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Catherine McKalip-Thompson</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2000-01-25T04:43:00Z</dcterms:created>
  <dc:creator>Catherine McKalip-Thompson</dc:creator>
  <dc:description/>
  <dc:language>en-CA</dc:language>
  <cp:lastModifiedBy>Catherine McKalip-Thompson</cp:lastModifiedBy>
  <dcterms:modified xsi:type="dcterms:W3CDTF">2000-01-31T15:22:00Z</dcterms:modified>
  <cp:revision>11</cp:revision>
  <dc:subject/>
  <dc:title>1/21 Meeting with Jan-Willem van de Ven, Edon NV</dc:title>
</cp:coreProperties>
</file>