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footer5.xml" ContentType="application/vnd.openxmlformats-officedocument.wordprocessingml.footer+xml"/>
  <Override PartName="/word/media/image1.wmf" ContentType="image/x-wmf"/>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00" w:type="dxa"/>
        <w:jc w:val="start"/>
        <w:tblInd w:w="18" w:type="dxa"/>
        <w:tblLayout w:type="fixed"/>
        <w:tblCellMar>
          <w:top w:w="0" w:type="dxa"/>
          <w:start w:w="108" w:type="dxa"/>
          <w:bottom w:w="0" w:type="dxa"/>
          <w:end w:w="108" w:type="dxa"/>
        </w:tblCellMar>
      </w:tblPr>
      <w:tblGrid>
        <w:gridCol w:w="3560"/>
        <w:gridCol w:w="5940"/>
      </w:tblGrid>
      <w:tr>
        <w:trPr>
          <w:trHeight w:val="1143" w:hRule="atLeast"/>
        </w:trPr>
        <w:tc>
          <w:tcPr>
            <w:tcW w:w="3560" w:type="dxa"/>
            <w:tcBorders>
              <w:bottom w:val="single" w:sz="4" w:space="0" w:color="000000"/>
            </w:tcBorders>
          </w:tcPr>
          <w:p>
            <w:pPr>
              <w:pStyle w:val="COUNTRY"/>
              <w:spacing w:before="180" w:after="0"/>
              <w:rPr>
                <w:lang w:val="en-US"/>
              </w:rPr>
            </w:pPr>
            <w:r>
              <w:rPr>
                <w:lang w:val="en-US"/>
              </w:rPr>
              <w:t>Global Power North America</w:t>
              <w:br/>
              <w:t>Credit Update</w:t>
            </w:r>
            <w:r>
              <mc:AlternateContent>
                <mc:Choice Requires="wps">
                  <w:drawing>
                    <wp:anchor behindDoc="0" distT="0" distB="91440" distL="114935" distR="114935" simplePos="0" locked="0" layoutInCell="0" allowOverlap="1" relativeHeight="10">
                      <wp:simplePos x="0" y="0"/>
                      <wp:positionH relativeFrom="page">
                        <wp:posOffset>911225</wp:posOffset>
                      </wp:positionH>
                      <wp:positionV relativeFrom="page">
                        <wp:posOffset>6489700</wp:posOffset>
                      </wp:positionV>
                      <wp:extent cx="2146300" cy="1999615"/>
                      <wp:effectExtent l="0" t="0" r="0" b="0"/>
                      <wp:wrapNone/>
                      <wp:docPr id="1" name="Frame1"/>
                      <a:graphic xmlns:a="http://schemas.openxmlformats.org/drawingml/2006/main">
                        <a:graphicData uri="http://schemas.microsoft.com/office/word/2010/wordprocessingShape">
                          <wps:wsp>
                            <wps:cNvSpPr txBox="1"/>
                            <wps:spPr>
                              <a:xfrm>
                                <a:off x="0" y="0"/>
                                <a:ext cx="2146300" cy="1999615"/>
                              </a:xfrm>
                              <a:prstGeom prst="rect"/>
                              <a:solidFill>
                                <a:srgbClr val="F8F8F8"/>
                              </a:solidFill>
                              <a:ln w="6350">
                                <a:solidFill>
                                  <a:srgbClr val="333333"/>
                                </a:solidFill>
                              </a:ln>
                            </wps:spPr>
                            <wps:txbx>
                              <w:txbxContent>
                                <w:p>
                                  <w:pPr>
                                    <w:pStyle w:val="TBLSPACE"/>
                                    <w:rPr>
                                      <w:lang w:val="en-US"/>
                                    </w:rPr>
                                  </w:pPr>
                                  <w:r>
                                    <w:rPr>
                                      <w:lang w:val="en-US"/>
                                    </w:rPr>
                                  </w:r>
                                </w:p>
                                <w:p>
                                  <w:pPr>
                                    <w:pStyle w:val="SUBHEAD1"/>
                                    <w:spacing w:before="0" w:after="0"/>
                                    <w:rPr>
                                      <w:lang w:val="en-US"/>
                                    </w:rPr>
                                  </w:pPr>
                                  <w:r>
                                    <w:rPr>
                                      <w:lang w:val="en-US"/>
                                    </w:rPr>
                                    <w:t>Key Credit Strengths</w:t>
                                  </w:r>
                                </w:p>
                                <w:p>
                                  <w:pPr>
                                    <w:pStyle w:val="BULLETDECK"/>
                                    <w:numPr>
                                      <w:ilvl w:val="0"/>
                                      <w:numId w:val="16"/>
                                    </w:numPr>
                                    <w:rPr/>
                                  </w:pPr>
                                  <w:r>
                                    <w:rPr/>
                                    <w:t>Strong credit fundamentals, with stable and consistent cash flows from long-term contracts.</w:t>
                                  </w:r>
                                </w:p>
                                <w:p>
                                  <w:pPr>
                                    <w:pStyle w:val="BULLETDECK"/>
                                    <w:numPr>
                                      <w:ilvl w:val="0"/>
                                      <w:numId w:val="16"/>
                                    </w:numPr>
                                    <w:rPr/>
                                  </w:pPr>
                                  <w:r>
                                    <w:rPr/>
                                    <w:t>Increasing reional electric generation needs.</w:t>
                                  </w:r>
                                </w:p>
                                <w:p>
                                  <w:pPr>
                                    <w:pStyle w:val="BULLETDECK"/>
                                    <w:numPr>
                                      <w:ilvl w:val="0"/>
                                      <w:numId w:val="16"/>
                                    </w:numPr>
                                    <w:rPr/>
                                  </w:pPr>
                                  <w:r>
                                    <w:rPr/>
                                    <w:t>Growing service territory</w:t>
                                  </w:r>
                                </w:p>
                                <w:p>
                                  <w:pPr>
                                    <w:pStyle w:val="TBLSPACE"/>
                                    <w:rPr/>
                                  </w:pPr>
                                  <w:r>
                                    <w:rPr/>
                                  </w:r>
                                </w:p>
                                <w:p>
                                  <w:pPr>
                                    <w:pStyle w:val="SUBHEAD1"/>
                                    <w:spacing w:before="0" w:after="0"/>
                                    <w:rPr/>
                                  </w:pPr>
                                  <w:r>
                                    <w:rPr/>
                                    <w:t>Key Credit Concerns</w:t>
                                  </w:r>
                                </w:p>
                                <w:p>
                                  <w:pPr>
                                    <w:pStyle w:val="BULLETDECK"/>
                                    <w:numPr>
                                      <w:ilvl w:val="0"/>
                                      <w:numId w:val="16"/>
                                    </w:numPr>
                                    <w:rPr/>
                                  </w:pPr>
                                  <w:r>
                                    <w:rPr/>
                                    <w:t>Weakened credit quality at Enron Corp.</w:t>
                                  </w:r>
                                </w:p>
                                <w:p>
                                  <w:pPr>
                                    <w:pStyle w:val="BULLETDECK"/>
                                    <w:numPr>
                                      <w:ilvl w:val="0"/>
                                      <w:numId w:val="16"/>
                                    </w:numPr>
                                    <w:rPr/>
                                  </w:pPr>
                                  <w:r>
                                    <w:rPr/>
                                    <w:t>Subordinated position to secured bank lenders.</w:t>
                                  </w:r>
                                </w:p>
                                <w:p>
                                  <w:pPr>
                                    <w:pStyle w:val="BULLETDECK"/>
                                    <w:numPr>
                                      <w:ilvl w:val="0"/>
                                      <w:numId w:val="13"/>
                                    </w:numPr>
                                    <w:rPr>
                                      <w:lang w:val="en-US"/>
                                    </w:rPr>
                                  </w:pPr>
                                  <w:r>
                                    <w:rPr/>
                                    <w:t>Unsettled California energy markets.</w:t>
                                  </w:r>
                                </w:p>
                              </w:txbxContent>
                            </wps:txbx>
                            <wps:bodyPr anchor="t" lIns="91440" tIns="45720" rIns="91440" bIns="45720">
                              <a:noAutofit/>
                            </wps:bodyPr>
                          </wps:wsp>
                        </a:graphicData>
                      </a:graphic>
                    </wp:anchor>
                  </w:drawing>
                </mc:Choice>
                <mc:Fallback>
                  <w:pict>
                    <v:rect fillcolor="#F8F8F8" strokecolor="#333333" strokeweight="0pt" style="position:absolute;rotation:-0;width:169pt;height:157.45pt;mso-wrap-distance-left:9.05pt;mso-wrap-distance-right:9.05pt;mso-wrap-distance-top:0pt;mso-wrap-distance-bottom:7.2pt;margin-top:511pt;mso-position-vertical-relative:page;margin-left:71.75pt;mso-position-horizontal-relative:page">
                      <v:textbox>
                        <w:txbxContent>
                          <w:p>
                            <w:pPr>
                              <w:pStyle w:val="TBLSPACE"/>
                              <w:rPr>
                                <w:lang w:val="en-US"/>
                              </w:rPr>
                            </w:pPr>
                            <w:r>
                              <w:rPr>
                                <w:lang w:val="en-US"/>
                              </w:rPr>
                            </w:r>
                          </w:p>
                          <w:p>
                            <w:pPr>
                              <w:pStyle w:val="SUBHEAD1"/>
                              <w:spacing w:before="0" w:after="0"/>
                              <w:rPr>
                                <w:lang w:val="en-US"/>
                              </w:rPr>
                            </w:pPr>
                            <w:r>
                              <w:rPr>
                                <w:lang w:val="en-US"/>
                              </w:rPr>
                              <w:t>Key Credit Strengths</w:t>
                            </w:r>
                          </w:p>
                          <w:p>
                            <w:pPr>
                              <w:pStyle w:val="BULLETDECK"/>
                              <w:numPr>
                                <w:ilvl w:val="0"/>
                                <w:numId w:val="16"/>
                              </w:numPr>
                              <w:rPr/>
                            </w:pPr>
                            <w:r>
                              <w:rPr/>
                              <w:t>Strong credit fundamentals, with stable and consistent cash flows from long-term contracts.</w:t>
                            </w:r>
                          </w:p>
                          <w:p>
                            <w:pPr>
                              <w:pStyle w:val="BULLETDECK"/>
                              <w:numPr>
                                <w:ilvl w:val="0"/>
                                <w:numId w:val="16"/>
                              </w:numPr>
                              <w:rPr/>
                            </w:pPr>
                            <w:r>
                              <w:rPr/>
                              <w:t>Increasing reional electric generation needs.</w:t>
                            </w:r>
                          </w:p>
                          <w:p>
                            <w:pPr>
                              <w:pStyle w:val="BULLETDECK"/>
                              <w:numPr>
                                <w:ilvl w:val="0"/>
                                <w:numId w:val="16"/>
                              </w:numPr>
                              <w:rPr/>
                            </w:pPr>
                            <w:r>
                              <w:rPr/>
                              <w:t>Growing service territory</w:t>
                            </w:r>
                          </w:p>
                          <w:p>
                            <w:pPr>
                              <w:pStyle w:val="TBLSPACE"/>
                              <w:rPr/>
                            </w:pPr>
                            <w:r>
                              <w:rPr/>
                            </w:r>
                          </w:p>
                          <w:p>
                            <w:pPr>
                              <w:pStyle w:val="SUBHEAD1"/>
                              <w:spacing w:before="0" w:after="0"/>
                              <w:rPr/>
                            </w:pPr>
                            <w:r>
                              <w:rPr/>
                              <w:t>Key Credit Concerns</w:t>
                            </w:r>
                          </w:p>
                          <w:p>
                            <w:pPr>
                              <w:pStyle w:val="BULLETDECK"/>
                              <w:numPr>
                                <w:ilvl w:val="0"/>
                                <w:numId w:val="16"/>
                              </w:numPr>
                              <w:rPr/>
                            </w:pPr>
                            <w:r>
                              <w:rPr/>
                              <w:t>Weakened credit quality at Enron Corp.</w:t>
                            </w:r>
                          </w:p>
                          <w:p>
                            <w:pPr>
                              <w:pStyle w:val="BULLETDECK"/>
                              <w:numPr>
                                <w:ilvl w:val="0"/>
                                <w:numId w:val="16"/>
                              </w:numPr>
                              <w:rPr/>
                            </w:pPr>
                            <w:r>
                              <w:rPr/>
                              <w:t>Subordinated position to secured bank lenders.</w:t>
                            </w:r>
                          </w:p>
                          <w:p>
                            <w:pPr>
                              <w:pStyle w:val="BULLETDECK"/>
                              <w:numPr>
                                <w:ilvl w:val="0"/>
                                <w:numId w:val="13"/>
                              </w:numPr>
                              <w:rPr>
                                <w:lang w:val="en-US"/>
                              </w:rPr>
                            </w:pPr>
                            <w:r>
                              <w:rPr/>
                              <w:t>Unsettled California energy markets.</w:t>
                            </w:r>
                          </w:p>
                        </w:txbxContent>
                      </v:textbox>
                      <w10:wrap type="none"/>
                    </v:rect>
                  </w:pict>
                </mc:Fallback>
              </mc:AlternateContent>
            </w:r>
          </w:p>
          <w:p>
            <w:pPr>
              <w:pStyle w:val="COUNTRY"/>
              <w:rPr>
                <w:lang w:val="en-US"/>
              </w:rPr>
            </w:pPr>
            <w:r>
              <w:rPr>
                <w:lang w:val="en-US"/>
              </w:rPr>
            </w:r>
          </w:p>
        </w:tc>
        <w:tc>
          <w:tcPr>
            <w:tcW w:w="5940" w:type="dxa"/>
            <w:tcBorders>
              <w:bottom w:val="single" w:sz="4" w:space="0" w:color="000000"/>
            </w:tcBorders>
          </w:tcPr>
          <w:p>
            <w:pPr>
              <w:pStyle w:val="BANKNAME"/>
              <w:spacing w:before="120" w:after="0"/>
              <w:rPr>
                <w:lang w:val="en-US"/>
              </w:rPr>
            </w:pPr>
            <w:r>
              <w:rPr>
                <w:lang w:val="en-US"/>
              </w:rPr>
              <w:t>Transwestern Pipeline Co.</w:t>
            </w:r>
          </w:p>
          <w:p>
            <w:pPr>
              <w:pStyle w:val="BANKNAME1"/>
              <w:spacing w:before="0" w:after="120"/>
              <w:rPr>
                <w:lang w:val="en-US"/>
              </w:rPr>
            </w:pPr>
            <w:r>
              <w:rPr>
                <w:lang w:val="en-US"/>
              </w:rPr>
              <w:t>Subsidiary of Enron Corp.</w:t>
            </w:r>
          </w:p>
        </w:tc>
      </w:tr>
    </w:tbl>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360" w:charSpace="0"/>
        </w:sectPr>
      </w:pPr>
    </w:p>
    <w:p>
      <w:pPr>
        <w:pStyle w:val="DECKSUBHEAD"/>
        <w:rPr/>
      </w:pPr>
      <w:r>
        <w:rPr/>
        <w:t>Ratings</w:t>
      </w:r>
    </w:p>
    <w:p>
      <w:pPr>
        <w:pStyle w:val="TBLSPACE"/>
        <w:rPr>
          <w:lang w:val="en-US"/>
        </w:rPr>
      </w:pPr>
      <w:r>
        <w:rPr>
          <w:lang w:val="en-US"/>
        </w:rPr>
      </w:r>
    </w:p>
    <w:tbl>
      <w:tblPr>
        <w:tblW w:w="3510" w:type="dxa"/>
        <w:jc w:val="start"/>
        <w:tblInd w:w="18" w:type="dxa"/>
        <w:tblLayout w:type="fixed"/>
        <w:tblCellMar>
          <w:top w:w="0" w:type="dxa"/>
          <w:start w:w="108" w:type="dxa"/>
          <w:bottom w:w="0" w:type="dxa"/>
          <w:end w:w="108" w:type="dxa"/>
        </w:tblCellMar>
      </w:tblPr>
      <w:tblGrid>
        <w:gridCol w:w="1350"/>
        <w:gridCol w:w="630"/>
        <w:gridCol w:w="720"/>
        <w:gridCol w:w="810"/>
      </w:tblGrid>
      <w:tr>
        <w:trPr/>
        <w:tc>
          <w:tcPr>
            <w:tcW w:w="1350" w:type="dxa"/>
            <w:tcBorders/>
          </w:tcPr>
          <w:p>
            <w:pPr>
              <w:pStyle w:val="TBLLEFT"/>
              <w:rPr>
                <w:b/>
                <w:sz w:val="14"/>
                <w:lang w:val="en-US"/>
              </w:rPr>
            </w:pPr>
            <w:r>
              <w:rPr>
                <w:b/>
                <w:sz w:val="14"/>
                <w:lang w:val="en-US"/>
              </w:rPr>
              <w:t>Security</w:t>
            </w:r>
          </w:p>
        </w:tc>
        <w:tc>
          <w:tcPr>
            <w:tcW w:w="630" w:type="dxa"/>
            <w:tcBorders/>
          </w:tcPr>
          <w:p>
            <w:pPr>
              <w:pStyle w:val="TBLLEFT"/>
              <w:ind w:end="-108"/>
              <w:rPr>
                <w:b/>
                <w:spacing w:val="-6"/>
                <w:sz w:val="14"/>
                <w:lang w:val="en-US"/>
              </w:rPr>
            </w:pPr>
            <w:r>
              <w:rPr>
                <w:b/>
                <w:spacing w:val="-6"/>
                <w:sz w:val="14"/>
                <w:lang w:val="en-US"/>
              </w:rPr>
              <w:t>Current</w:t>
            </w:r>
          </w:p>
        </w:tc>
        <w:tc>
          <w:tcPr>
            <w:tcW w:w="720" w:type="dxa"/>
            <w:tcBorders/>
          </w:tcPr>
          <w:p>
            <w:pPr>
              <w:pStyle w:val="TBLLEFT"/>
              <w:ind w:end="-108"/>
              <w:rPr>
                <w:b/>
                <w:spacing w:val="-8"/>
                <w:sz w:val="14"/>
                <w:lang w:val="en-US"/>
              </w:rPr>
            </w:pPr>
            <w:r>
              <w:rPr>
                <w:b/>
                <w:spacing w:val="-8"/>
                <w:sz w:val="14"/>
                <w:lang w:val="en-US"/>
              </w:rPr>
              <w:t>Previous</w:t>
            </w:r>
          </w:p>
        </w:tc>
        <w:tc>
          <w:tcPr>
            <w:tcW w:w="810" w:type="dxa"/>
            <w:tcBorders/>
          </w:tcPr>
          <w:p>
            <w:pPr>
              <w:pStyle w:val="TBLRIGHT"/>
              <w:ind w:end="0"/>
              <w:rPr>
                <w:b/>
                <w:sz w:val="14"/>
                <w:lang w:val="en-US"/>
              </w:rPr>
            </w:pPr>
            <w:r>
              <w:rPr>
                <w:b/>
                <w:sz w:val="14"/>
                <w:lang w:val="en-US"/>
              </w:rPr>
              <w:t>Date</w:t>
            </w:r>
          </w:p>
        </w:tc>
      </w:tr>
      <w:tr>
        <w:trPr/>
        <w:tc>
          <w:tcPr>
            <w:tcW w:w="1350" w:type="dxa"/>
            <w:tcBorders/>
          </w:tcPr>
          <w:p>
            <w:pPr>
              <w:pStyle w:val="TBLLEFT"/>
              <w:rPr>
                <w:b/>
                <w:sz w:val="14"/>
                <w:lang w:val="en-US"/>
              </w:rPr>
            </w:pPr>
            <w:r>
              <w:rPr>
                <w:b/>
                <w:sz w:val="14"/>
                <w:lang w:val="en-US"/>
              </w:rPr>
              <w:t>Class</w:t>
            </w:r>
          </w:p>
        </w:tc>
        <w:tc>
          <w:tcPr>
            <w:tcW w:w="630" w:type="dxa"/>
            <w:tcBorders/>
          </w:tcPr>
          <w:p>
            <w:pPr>
              <w:pStyle w:val="TBLLEFT"/>
              <w:ind w:end="-108"/>
              <w:rPr>
                <w:b/>
                <w:sz w:val="14"/>
                <w:lang w:val="en-US"/>
              </w:rPr>
            </w:pPr>
            <w:r>
              <w:rPr>
                <w:b/>
                <w:sz w:val="14"/>
                <w:lang w:val="en-US"/>
              </w:rPr>
              <w:t>Rating</w:t>
            </w:r>
          </w:p>
        </w:tc>
        <w:tc>
          <w:tcPr>
            <w:tcW w:w="720" w:type="dxa"/>
            <w:tcBorders/>
          </w:tcPr>
          <w:p>
            <w:pPr>
              <w:pStyle w:val="TBLLEFT"/>
              <w:rPr>
                <w:b/>
                <w:sz w:val="14"/>
                <w:lang w:val="en-US"/>
              </w:rPr>
            </w:pPr>
            <w:r>
              <w:rPr>
                <w:b/>
                <w:sz w:val="14"/>
                <w:lang w:val="en-US"/>
              </w:rPr>
              <w:t>Rating</w:t>
            </w:r>
          </w:p>
        </w:tc>
        <w:tc>
          <w:tcPr>
            <w:tcW w:w="810" w:type="dxa"/>
            <w:tcBorders/>
          </w:tcPr>
          <w:p>
            <w:pPr>
              <w:pStyle w:val="TBLRIGHT"/>
              <w:ind w:start="-108" w:end="0"/>
              <w:rPr>
                <w:b/>
                <w:spacing w:val="-6"/>
                <w:sz w:val="14"/>
                <w:lang w:val="en-US"/>
              </w:rPr>
            </w:pPr>
            <w:r>
              <w:rPr>
                <w:b/>
                <w:spacing w:val="-6"/>
                <w:sz w:val="14"/>
                <w:lang w:val="en-US"/>
              </w:rPr>
              <w:t>Changed</w:t>
            </w:r>
          </w:p>
        </w:tc>
      </w:tr>
      <w:tr>
        <w:trPr/>
        <w:tc>
          <w:tcPr>
            <w:tcW w:w="3510" w:type="dxa"/>
            <w:gridSpan w:val="4"/>
            <w:tcBorders/>
          </w:tcPr>
          <w:p>
            <w:pPr>
              <w:pStyle w:val="TBLRULECOLUMNHEAD"/>
              <w:snapToGrid w:val="false"/>
              <w:rPr>
                <w:b/>
                <w:spacing w:val="-6"/>
                <w:sz w:val="14"/>
                <w:lang w:val="en-US"/>
              </w:rPr>
            </w:pPr>
            <w:r>
              <w:rPr>
                <w:b/>
                <w:spacing w:val="-6"/>
                <w:sz w:val="14"/>
                <w:lang w:val="en-US"/>
              </w:rPr>
            </w:r>
          </w:p>
        </w:tc>
      </w:tr>
      <w:tr>
        <w:trPr/>
        <w:tc>
          <w:tcPr>
            <w:tcW w:w="1350" w:type="dxa"/>
            <w:tcBorders/>
          </w:tcPr>
          <w:p>
            <w:pPr>
              <w:pStyle w:val="TBLLEFT"/>
              <w:rPr>
                <w:sz w:val="14"/>
              </w:rPr>
            </w:pPr>
            <w:r>
              <w:rPr>
                <w:sz w:val="14"/>
              </w:rPr>
              <w:t>Sr. Unsec.</w:t>
            </w:r>
          </w:p>
        </w:tc>
        <w:tc>
          <w:tcPr>
            <w:tcW w:w="630" w:type="dxa"/>
            <w:tcBorders/>
          </w:tcPr>
          <w:p>
            <w:pPr>
              <w:pStyle w:val="TBLLEFT"/>
              <w:rPr>
                <w:sz w:val="14"/>
              </w:rPr>
            </w:pPr>
            <w:r>
              <w:rPr>
                <w:sz w:val="14"/>
              </w:rPr>
              <w:t>BBB-</w:t>
            </w:r>
          </w:p>
        </w:tc>
        <w:tc>
          <w:tcPr>
            <w:tcW w:w="720" w:type="dxa"/>
            <w:tcBorders/>
          </w:tcPr>
          <w:p>
            <w:pPr>
              <w:pStyle w:val="TBLLEFT"/>
              <w:ind w:end="-108"/>
              <w:rPr>
                <w:sz w:val="14"/>
              </w:rPr>
            </w:pPr>
            <w:r>
              <w:rPr>
                <w:sz w:val="14"/>
              </w:rPr>
              <w:t>A-</w:t>
            </w:r>
          </w:p>
        </w:tc>
        <w:tc>
          <w:tcPr>
            <w:tcW w:w="810" w:type="dxa"/>
            <w:tcBorders/>
          </w:tcPr>
          <w:p>
            <w:pPr>
              <w:pStyle w:val="TBLRIGHT"/>
              <w:ind w:start="-108" w:end="-18"/>
              <w:rPr>
                <w:sz w:val="14"/>
              </w:rPr>
            </w:pPr>
            <w:r>
              <w:rPr>
                <w:sz w:val="14"/>
              </w:rPr>
              <w:t>11/5/01</w:t>
            </w:r>
          </w:p>
        </w:tc>
      </w:tr>
      <w:tr>
        <w:trPr/>
        <w:tc>
          <w:tcPr>
            <w:tcW w:w="1350" w:type="dxa"/>
            <w:tcBorders/>
          </w:tcPr>
          <w:p>
            <w:pPr>
              <w:pStyle w:val="TBLLEFT"/>
              <w:snapToGrid w:val="false"/>
              <w:rPr>
                <w:spacing w:val="-4"/>
                <w:sz w:val="14"/>
                <w:lang w:val="en-US"/>
              </w:rPr>
            </w:pPr>
            <w:r>
              <w:rPr>
                <w:spacing w:val="-4"/>
                <w:sz w:val="14"/>
                <w:lang w:val="en-US"/>
              </w:rPr>
            </w:r>
          </w:p>
        </w:tc>
        <w:tc>
          <w:tcPr>
            <w:tcW w:w="630" w:type="dxa"/>
            <w:tcBorders/>
            <w:vAlign w:val="bottom"/>
          </w:tcPr>
          <w:p>
            <w:pPr>
              <w:pStyle w:val="TBLLEFT"/>
              <w:snapToGrid w:val="false"/>
              <w:rPr>
                <w:spacing w:val="-4"/>
                <w:sz w:val="14"/>
                <w:lang w:val="en-US"/>
              </w:rPr>
            </w:pPr>
            <w:r>
              <w:rPr>
                <w:spacing w:val="-4"/>
                <w:sz w:val="14"/>
                <w:lang w:val="en-US"/>
              </w:rPr>
            </w:r>
          </w:p>
        </w:tc>
        <w:tc>
          <w:tcPr>
            <w:tcW w:w="720" w:type="dxa"/>
            <w:tcBorders/>
            <w:vAlign w:val="bottom"/>
          </w:tcPr>
          <w:p>
            <w:pPr>
              <w:pStyle w:val="TBLLEFT"/>
              <w:snapToGrid w:val="false"/>
              <w:rPr>
                <w:sz w:val="14"/>
                <w:lang w:val="en-US"/>
              </w:rPr>
            </w:pPr>
            <w:r>
              <w:rPr>
                <w:sz w:val="14"/>
                <w:lang w:val="en-US"/>
              </w:rPr>
            </w:r>
          </w:p>
        </w:tc>
        <w:tc>
          <w:tcPr>
            <w:tcW w:w="810" w:type="dxa"/>
            <w:tcBorders/>
            <w:vAlign w:val="bottom"/>
          </w:tcPr>
          <w:p>
            <w:pPr>
              <w:pStyle w:val="TBLRIGHT"/>
              <w:snapToGrid w:val="false"/>
              <w:ind w:start="-108" w:end="-18"/>
              <w:rPr>
                <w:sz w:val="14"/>
                <w:lang w:val="en-US"/>
              </w:rPr>
            </w:pPr>
            <w:r>
              <w:rPr>
                <w:sz w:val="14"/>
                <w:lang w:val="en-US"/>
              </w:rPr>
            </w:r>
          </w:p>
        </w:tc>
      </w:tr>
      <w:tr>
        <w:trPr/>
        <w:tc>
          <w:tcPr>
            <w:tcW w:w="1350" w:type="dxa"/>
            <w:tcBorders/>
          </w:tcPr>
          <w:p>
            <w:pPr>
              <w:pStyle w:val="TBLLEFT"/>
              <w:snapToGrid w:val="false"/>
              <w:rPr>
                <w:sz w:val="14"/>
                <w:lang w:val="en-US"/>
              </w:rPr>
            </w:pPr>
            <w:r>
              <w:rPr>
                <w:sz w:val="14"/>
                <w:lang w:val="en-US"/>
              </w:rPr>
            </w:r>
          </w:p>
        </w:tc>
        <w:tc>
          <w:tcPr>
            <w:tcW w:w="630" w:type="dxa"/>
            <w:tcBorders/>
          </w:tcPr>
          <w:p>
            <w:pPr>
              <w:pStyle w:val="TBLLEFT"/>
              <w:snapToGrid w:val="false"/>
              <w:rPr>
                <w:sz w:val="14"/>
                <w:lang w:val="en-US"/>
              </w:rPr>
            </w:pPr>
            <w:r>
              <w:rPr>
                <w:sz w:val="14"/>
                <w:lang w:val="en-US"/>
              </w:rPr>
            </w:r>
          </w:p>
        </w:tc>
        <w:tc>
          <w:tcPr>
            <w:tcW w:w="720" w:type="dxa"/>
            <w:tcBorders/>
          </w:tcPr>
          <w:p>
            <w:pPr>
              <w:pStyle w:val="TBLLEFT"/>
              <w:snapToGrid w:val="false"/>
              <w:rPr>
                <w:sz w:val="14"/>
                <w:lang w:val="en-US"/>
              </w:rPr>
            </w:pPr>
            <w:r>
              <w:rPr>
                <w:sz w:val="14"/>
                <w:lang w:val="en-US"/>
              </w:rPr>
            </w:r>
          </w:p>
        </w:tc>
        <w:tc>
          <w:tcPr>
            <w:tcW w:w="810" w:type="dxa"/>
            <w:tcBorders/>
          </w:tcPr>
          <w:p>
            <w:pPr>
              <w:pStyle w:val="TBLRIGHT"/>
              <w:snapToGrid w:val="false"/>
              <w:ind w:start="-108" w:end="-18"/>
              <w:rPr>
                <w:sz w:val="14"/>
                <w:lang w:val="en-US"/>
              </w:rPr>
            </w:pPr>
            <w:r>
              <w:rPr>
                <w:sz w:val="14"/>
                <w:lang w:val="en-US"/>
              </w:rPr>
            </w:r>
          </w:p>
        </w:tc>
      </w:tr>
    </w:tbl>
    <w:p>
      <w:pPr>
        <w:pStyle w:val="DECKRATINGS"/>
        <w:rPr>
          <w:lang w:val="en-US"/>
        </w:rPr>
      </w:pPr>
      <w:r>
        <w:rPr>
          <w:lang w:val="en-US"/>
        </w:rPr>
      </w:r>
    </w:p>
    <w:p>
      <w:pPr>
        <w:pStyle w:val="DECKRATINGS"/>
        <w:rPr/>
      </w:pPr>
      <w:r>
        <w:rPr>
          <w:b/>
          <w:lang w:val="en-US"/>
        </w:rPr>
        <w:t>Rating Watch</w:t>
      </w:r>
      <w:r>
        <w:rPr>
          <w:lang w:val="en-US"/>
        </w:rPr>
        <w:tab/>
        <w:t>Evolving</w:t>
      </w:r>
    </w:p>
    <w:p>
      <w:pPr>
        <w:pStyle w:val="DECKRATINGS"/>
        <w:rPr/>
      </w:pPr>
      <w:r>
        <w:rPr>
          <w:b/>
          <w:lang w:val="en-US"/>
        </w:rPr>
        <w:t>Rating Outlook</w:t>
      </w:r>
      <w:r>
        <w:rPr>
          <w:lang w:val="en-US"/>
        </w:rPr>
        <w:tab/>
        <w:t>None</w:t>
      </w:r>
    </w:p>
    <w:p>
      <w:pPr>
        <w:pStyle w:val="DECKSUBHEAD"/>
        <w:rPr/>
      </w:pPr>
      <w:r>
        <w:rPr/>
        <w:t>Analysts</w:t>
      </w:r>
    </w:p>
    <w:p>
      <w:pPr>
        <w:pStyle w:val="DECKTEXT"/>
        <w:rPr>
          <w:b/>
        </w:rPr>
      </w:pPr>
      <w:r>
        <w:rPr/>
        <w:t>Ralph Pellecchia</w:t>
      </w:r>
    </w:p>
    <w:p>
      <w:pPr>
        <w:pStyle w:val="DECKTEXT"/>
        <w:rPr/>
      </w:pPr>
      <w:r>
        <w:rPr/>
        <w:t>1 212 908-0586</w:t>
      </w:r>
    </w:p>
    <w:p>
      <w:pPr>
        <w:pStyle w:val="DECKTEXT"/>
        <w:rPr/>
      </w:pPr>
      <w:r>
        <w:rPr/>
        <w:t>ralph.pellechia@fitchratings.com</w:t>
      </w:r>
    </w:p>
    <w:p>
      <w:pPr>
        <w:pStyle w:val="DECKTEXT"/>
        <w:rPr/>
      </w:pPr>
      <w:r>
        <w:rPr/>
      </w:r>
    </w:p>
    <w:p>
      <w:pPr>
        <w:pStyle w:val="DECKTEXT"/>
        <w:rPr/>
      </w:pPr>
      <w:r>
        <w:rPr/>
        <w:t>Hugh Welton</w:t>
      </w:r>
    </w:p>
    <w:p>
      <w:pPr>
        <w:pStyle w:val="DECKTEXT"/>
        <w:rPr/>
      </w:pPr>
      <w:r>
        <w:rPr/>
        <w:t>1 212 908-0746</w:t>
      </w:r>
    </w:p>
    <w:p>
      <w:pPr>
        <w:pStyle w:val="DECKTEXT"/>
        <w:rPr/>
      </w:pPr>
      <w:r>
        <w:rPr/>
        <w:t>hugh.welton@fitchratings.com</w:t>
      </w:r>
    </w:p>
    <w:p>
      <w:pPr>
        <w:pStyle w:val="SUBHEAD1"/>
        <w:rPr>
          <w:sz w:val="20"/>
          <w:lang w:val="en-US"/>
        </w:rPr>
      </w:pPr>
      <w:r>
        <w:rPr>
          <w:sz w:val="20"/>
          <w:lang w:val="en-US"/>
        </w:rPr>
        <w:t>Profile</w:t>
      </w:r>
    </w:p>
    <w:p>
      <w:pPr>
        <w:pStyle w:val="DECKTEXT"/>
        <w:rPr>
          <w:lang w:val="en-US"/>
        </w:rPr>
      </w:pPr>
      <w:r>
        <w:rPr/>
        <w:t>TW owns and operates a 2,487-mile natural gas pipeline extending from West Texas through the Southwest into California. TW also operates a major supply lateral in the San Juan Basin with a capacity of more than 800 Mcf/d.</w:t>
      </w:r>
    </w:p>
    <w:p>
      <w:pPr>
        <w:pStyle w:val="SUBHEAD1"/>
        <w:rPr>
          <w:lang w:val="en-US"/>
        </w:rPr>
      </w:pPr>
      <w:r>
        <w:rPr>
          <w:lang w:val="en-US"/>
        </w:rPr>
        <w:t>Related Research</w:t>
      </w:r>
    </w:p>
    <w:p>
      <w:pPr>
        <w:pStyle w:val="DECKTEXT"/>
        <w:numPr>
          <w:ilvl w:val="0"/>
          <w:numId w:val="16"/>
        </w:numPr>
        <w:rPr>
          <w:lang w:val="en-US"/>
        </w:rPr>
      </w:pPr>
      <w:r>
        <w:rPr>
          <w:lang w:val="en-US"/>
        </w:rPr>
        <w:t>Enron Corp.</w:t>
      </w:r>
    </w:p>
    <w:p>
      <w:pPr>
        <w:pStyle w:val="DECKTEXT"/>
        <w:numPr>
          <w:ilvl w:val="0"/>
          <w:numId w:val="16"/>
        </w:numPr>
        <w:rPr>
          <w:lang w:val="en-US"/>
        </w:rPr>
      </w:pPr>
      <w:r>
        <w:rPr>
          <w:lang w:val="en-US"/>
        </w:rPr>
        <w:t>Northern Natural Gas Company</w:t>
      </w:r>
    </w:p>
    <w:p>
      <w:pPr>
        <w:pStyle w:val="SUBHEAD"/>
        <w:numPr>
          <w:ilvl w:val="0"/>
          <w:numId w:val="14"/>
        </w:numPr>
        <w:rPr>
          <w:lang w:val="en-US"/>
        </w:rPr>
      </w:pPr>
      <w:r>
        <w:br w:type="column"/>
      </w:r>
      <w:r>
        <w:rPr>
          <w:lang w:val="en-US"/>
        </w:rPr>
        <w:t>Rating Rationale</w:t>
      </w:r>
    </w:p>
    <w:p>
      <w:pPr>
        <w:pStyle w:val="Normal"/>
        <w:rPr/>
      </w:pPr>
      <w:r>
        <w:rPr/>
        <w:t>Transwestern Pipeline Co. (TW) rating was downgraded to reflect the weakened credit profile of Enron. An additional consideration is the structural subordination unsecured lenders have to a new secured credit facility.</w:t>
      </w:r>
    </w:p>
    <w:p>
      <w:pPr>
        <w:pStyle w:val="Normal"/>
        <w:rPr/>
      </w:pPr>
      <w:r>
        <w:rPr/>
        <w:t xml:space="preserve">On a standalone basis TW benefits from a very strong financial profile, stable cash flows, minimal debt, and a growing service territory. TW’s $16 million of debt outstanding at June 30, 2001, is only a small percentage of operating income. As would be expected, all standard quantitative credit measures are strong. Additionally, cash flows are stable due to firm capacity contracts and improved regional market conditions and are expected to steadily increase from expansions. </w:t>
      </w:r>
    </w:p>
    <w:p>
      <w:pPr>
        <w:pStyle w:val="LASTPARAGRAPH"/>
        <w:rPr/>
      </w:pPr>
      <w:r>
        <w:rPr/>
        <w:t>Although TW benefits from contractual commitments for its firm transportation capacity, 45% of contracts expire between 2000–2005, exposing the company to some turnback risk. However, this risk is mitigated by 33% of existing longer term contracts expiring post-2005 and a settlement agreement with current firm customers in its primary market. In 1996, TW went through a rate case settlement and contract renegotiations that dealt with the issue of relinquished capacity on TW’s system. Per the agreement, the company is responsible for 70% of the risk of resubscribing the released capacity, and its customers have the remaining 30% of such risk through 2001.</w:t>
      </w:r>
    </w:p>
    <w:p>
      <w:pPr>
        <w:pStyle w:val="SUBHEAD"/>
        <w:numPr>
          <w:ilvl w:val="0"/>
          <w:numId w:val="15"/>
        </w:numPr>
        <w:rPr>
          <w:lang w:val="en-US"/>
        </w:rPr>
      </w:pPr>
      <w:r>
        <w:rPr>
          <w:lang w:val="en-US"/>
        </w:rPr>
        <w:t>Recent Developments</w:t>
      </w:r>
    </w:p>
    <w:p>
      <w:pPr>
        <w:pStyle w:val="LASTPARAGRAPH"/>
        <w:rPr/>
      </w:pPr>
      <w:r>
        <w:rPr/>
        <w:t>On November 5, 2001, the senior debt ratings of Enron and TW were lowered to ‘BBB-‘ and placed on Rating Watch Negative. On November 9, 2001, following the announced agreement to merge Enron and Dynegy Inc., Fitch change the Rating Watch for both companies to Evolving.</w:t>
      </w:r>
    </w:p>
    <w:p>
      <w:pPr>
        <w:pStyle w:val="LASTPARAGRAPH"/>
        <w:rPr/>
      </w:pPr>
      <w:r>
        <w:rPr/>
      </w:r>
    </w:p>
    <w:p>
      <w:pPr>
        <w:pStyle w:val="LASTPARAGRAPH"/>
        <w:rPr/>
      </w:pPr>
      <w:r>
        <w:rPr/>
        <w:t>During the past year, the value of pipeline capacity into California peaked at historically high levels, primarily driven by electric generation requirements and limitations in the regional pipeline infrastructure, particularly from bottlenecks within the state. While market volatility has moderated, long-term supply issues remain unsettled. However, TW is among the pipelines serving the region with potential expansion plans and is well-positioned over the long term.</w:t>
      </w:r>
    </w:p>
    <w:p>
      <w:pPr>
        <w:pStyle w:val="SUBHEAD"/>
        <w:numPr>
          <w:ilvl w:val="0"/>
          <w:numId w:val="15"/>
        </w:numPr>
        <w:rPr>
          <w:lang w:val="en-US"/>
        </w:rPr>
      </w:pPr>
      <w:r>
        <w:rPr>
          <w:lang w:val="en-US"/>
        </w:rPr>
        <w:t>Liquidity Structure</w:t>
      </w:r>
    </w:p>
    <w:p>
      <w:pPr>
        <w:pStyle w:val="Normal"/>
        <w:rPr/>
      </w:pPr>
      <w:r>
        <w:rPr/>
        <w:t>TW’s balance sheet is extremely strong, with minimal outstanding debt. Near-term capital expenditures are expected to be met with internally generated funds. However, in order to provide additional liquidity for Enron, TW negotiated a $550 million credit facility secured by TW’s capital stock, a subordinated note from Enron to TW, and substantially all the other assets of TW.</w:t>
      </w:r>
    </w:p>
    <w:p>
      <w:pPr>
        <w:sectPr>
          <w:type w:val="continuous"/>
          <w:pgSz w:w="12240" w:h="15840"/>
          <w:pgMar w:left="1440" w:right="1440" w:gutter="0" w:header="720" w:top="1440" w:footer="720" w:bottom="1440"/>
          <w:cols w:num="2" w:equalWidth="false" w:sep="false">
            <w:col w:w="3370" w:space="272"/>
            <w:col w:w="5717"/>
          </w:cols>
          <w:formProt w:val="false"/>
          <w:titlePg/>
          <w:textDirection w:val="lrTb"/>
          <w:docGrid w:type="default" w:linePitch="360" w:charSpace="0"/>
        </w:sectPr>
      </w:pPr>
    </w:p>
    <w:p>
      <w:pPr>
        <w:pStyle w:val="Normal"/>
        <w:rPr>
          <w:spacing w:val="-4"/>
        </w:rPr>
      </w:pPr>
      <w:r>
        <w:rPr>
          <w:spacing w:val="-4"/>
        </w:rPr>
      </w:r>
    </w:p>
    <w:p>
      <w:pPr>
        <w:pStyle w:val="Normal"/>
        <w:rPr>
          <w:spacing w:val="-4"/>
        </w:rPr>
      </w:pPr>
      <w:r>
        <w:rPr>
          <w:spacing w:val="-4"/>
        </w:rPr>
      </w:r>
    </w:p>
    <w:p>
      <w:pPr>
        <w:sectPr>
          <w:headerReference w:type="even" r:id="rId8"/>
          <w:headerReference w:type="default" r:id="rId9"/>
          <w:footerReference w:type="even" r:id="rId10"/>
          <w:footerReference w:type="default" r:id="rId11"/>
          <w:type w:val="nextPage"/>
          <w:pgSz w:w="12240" w:h="15840"/>
          <w:pgMar w:left="1440" w:right="1440" w:gutter="0" w:header="720" w:top="1440" w:footer="720" w:bottom="1440"/>
          <w:pgNumType w:fmt="decimal"/>
          <w:cols w:num="2" w:space="720" w:equalWidth="true" w:sep="false"/>
          <w:formProt w:val="false"/>
          <w:textDirection w:val="lrTb"/>
          <w:docGrid w:type="default" w:linePitch="360" w:charSpace="0"/>
        </w:sectPr>
      </w:pPr>
    </w:p>
    <w:p>
      <w:pPr>
        <w:pStyle w:val="Footer"/>
        <w:tabs>
          <w:tab w:val="clear" w:pos="4320"/>
          <w:tab w:val="clear" w:pos="8640"/>
        </w:tabs>
        <w:rPr>
          <w:spacing w:val="-4"/>
          <w:lang w:val="en-CA" w:eastAsia="en-CA"/>
        </w:rPr>
      </w:pPr>
      <w:r>
        <w:rPr>
          <w:spacing w:val="-4"/>
          <w:lang w:val="en-CA" w:eastAsia="en-CA"/>
        </w:rPr>
      </w:r>
      <w:r>
        <mc:AlternateContent>
          <mc:Choice Requires="wps">
            <w:drawing>
              <wp:anchor behindDoc="0" distT="91440" distB="91440" distL="114935" distR="114935" simplePos="0" locked="0" layoutInCell="0" allowOverlap="1" relativeHeight="9">
                <wp:simplePos x="0" y="0"/>
                <wp:positionH relativeFrom="page">
                  <wp:posOffset>905510</wp:posOffset>
                </wp:positionH>
                <wp:positionV relativeFrom="page">
                  <wp:posOffset>8050530</wp:posOffset>
                </wp:positionV>
                <wp:extent cx="5943600" cy="1050925"/>
                <wp:effectExtent l="0" t="0" r="0" b="0"/>
                <wp:wrapTopAndBottom/>
                <wp:docPr id="10" name="Frame2"/>
                <a:graphic xmlns:a="http://schemas.openxmlformats.org/drawingml/2006/main">
                  <a:graphicData uri="http://schemas.microsoft.com/office/word/2010/wordprocessingShape">
                    <wps:wsp>
                      <wps:cNvSpPr txBox="1"/>
                      <wps:spPr>
                        <a:xfrm>
                          <a:off x="0" y="0"/>
                          <a:ext cx="5943600" cy="1050925"/>
                        </a:xfrm>
                        <a:prstGeom prst="rect"/>
                        <a:solidFill>
                          <a:srgbClr val="FFFFFF"/>
                        </a:solidFill>
                      </wps:spPr>
                      <wps:txbx>
                        <w:txbxContent>
                          <w:p>
                            <w:pPr>
                              <w:pStyle w:val="COPYRIGHT"/>
                              <w:rPr/>
                            </w:pPr>
                            <w:r>
                              <w:rPr/>
                              <w:t>Copyright © 2001 by Fitch, One State Street Plaza, NY, NY 10004</w:t>
                            </w:r>
                          </w:p>
                          <w:p>
                            <w:pPr>
                              <w:pStyle w:val="COPYRIGHT"/>
                              <w:rPr/>
                            </w:pPr>
                            <w:r>
                              <w:rPr/>
                              <w:t>Telephone: New York, 1-800-753-4824, (212) 908-0500, Fax (212) 480-4435; Chicago, IL, (312) 368-3100, Fax (312) 263-1032;</w:t>
                            </w:r>
                          </w:p>
                          <w:p>
                            <w:pPr>
                              <w:pStyle w:val="COPYRIGHT"/>
                              <w:rPr>
                                <w:rFonts w:ascii="TimesNewRomanPS" w:hAnsi="TimesNewRomanPS" w:cs="TimesNewRomanPS"/>
                              </w:rPr>
                            </w:pPr>
                            <w:r>
                              <w:rPr>
                                <w:rFonts w:cs="TimesNewRomanPS" w:ascii="TimesNewRomanPS" w:hAnsi="TimesNewRomanPS"/>
                              </w:rPr>
                              <w:t xml:space="preserve">London, 011 44 20 7417 4222, Fax 011 44 20 7417 4242; San Francisco, CA, 1-800-953-4824, (415) 732-5770, Fax (415) 732-5610 </w:t>
                            </w:r>
                          </w:p>
                          <w:p>
                            <w:pPr>
                              <w:pStyle w:val="COPYRIGHT"/>
                              <w:rPr/>
                            </w:pPr>
                            <w:r>
                              <w:rPr/>
                              <w:t>Printed by American Direct Mail Co., Inc. NY, NY 10014. Reproduction in whole or in part prohibited except by permission.</w:t>
                            </w:r>
                          </w:p>
                          <w:p>
                            <w:pPr>
                              <w:pStyle w:val="COPYRIGHT"/>
                              <w:rPr/>
                            </w:pPr>
                            <w:r>
                              <w:rPr/>
                              <w:t>Fitch ratings are based on information obtained from issuers, other obligors, underwriters, their experts, and other sources Fitch believes to be reliable. Fitch does not audit or verify the truth or accuracy of such information. Ratings may be changed, suspended, or withdrawn as a result of changes in, or the unavailability of, information or for other reasons. Ratings are not a recommendation to buy, sell, or hold any security. Ratings do not comment on the adequacy of market price, the suitability of any security for a particular investor, or the tax-exempt nature or taxability of payments made in respect to any security. Fitch receives fees from issuers, insurers, guarantors, other obligors, and underwriters for rating securities. Such fees generally vary from $1,000 to $750,000 per issue. In certain cases, Fitch will rate all or a number of issues issued by a particular issuer, or insured or guaranteed by a particular insurer or guarantor, for a single annual fee. Such fees are expected to vary from $10,000 to $1,500,000. The assignment, publication, or dissemination of a rating by Fitch shall not constitute a consent by Fitch to use its name as an expert in connection with any registration statement filed under the federal securities laws. Due to the relative efficiency of electronic publishing and distribution, Fitch Research may be available to electronic subscribers up to three days earlier than print subscribers.</w:t>
                            </w:r>
                          </w:p>
                        </w:txbxContent>
                      </wps:txbx>
                      <wps:bodyPr anchor="t" lIns="635" tIns="635" rIns="635" bIns="635">
                        <a:noAutofit/>
                      </wps:bodyPr>
                    </wps:wsp>
                  </a:graphicData>
                </a:graphic>
              </wp:anchor>
            </w:drawing>
          </mc:Choice>
          <mc:Fallback>
            <w:pict>
              <v:rect fillcolor="#FFFFFF" style="position:absolute;rotation:-0;width:468pt;height:82.75pt;mso-wrap-distance-left:9.05pt;mso-wrap-distance-right:9.05pt;mso-wrap-distance-top:7.2pt;mso-wrap-distance-bottom:7.2pt;margin-top:633.9pt;mso-position-vertical-relative:page;margin-left:71.3pt;mso-position-horizontal-relative:page">
                <v:textbox inset="0.000694444444444445in,0.000694444444444445in,0.000694444444444445in,0.000694444444444445in">
                  <w:txbxContent>
                    <w:p>
                      <w:pPr>
                        <w:pStyle w:val="COPYRIGHT"/>
                        <w:rPr/>
                      </w:pPr>
                      <w:r>
                        <w:rPr/>
                        <w:t>Copyright © 2001 by Fitch, One State Street Plaza, NY, NY 10004</w:t>
                      </w:r>
                    </w:p>
                    <w:p>
                      <w:pPr>
                        <w:pStyle w:val="COPYRIGHT"/>
                        <w:rPr/>
                      </w:pPr>
                      <w:r>
                        <w:rPr/>
                        <w:t>Telephone: New York, 1-800-753-4824, (212) 908-0500, Fax (212) 480-4435; Chicago, IL, (312) 368-3100, Fax (312) 263-1032;</w:t>
                      </w:r>
                    </w:p>
                    <w:p>
                      <w:pPr>
                        <w:pStyle w:val="COPYRIGHT"/>
                        <w:rPr>
                          <w:rFonts w:ascii="TimesNewRomanPS" w:hAnsi="TimesNewRomanPS" w:cs="TimesNewRomanPS"/>
                        </w:rPr>
                      </w:pPr>
                      <w:r>
                        <w:rPr>
                          <w:rFonts w:cs="TimesNewRomanPS" w:ascii="TimesNewRomanPS" w:hAnsi="TimesNewRomanPS"/>
                        </w:rPr>
                        <w:t xml:space="preserve">London, 011 44 20 7417 4222, Fax 011 44 20 7417 4242; San Francisco, CA, 1-800-953-4824, (415) 732-5770, Fax (415) 732-5610 </w:t>
                      </w:r>
                    </w:p>
                    <w:p>
                      <w:pPr>
                        <w:pStyle w:val="COPYRIGHT"/>
                        <w:rPr/>
                      </w:pPr>
                      <w:r>
                        <w:rPr/>
                        <w:t>Printed by American Direct Mail Co., Inc. NY, NY 10014. Reproduction in whole or in part prohibited except by permission.</w:t>
                      </w:r>
                    </w:p>
                    <w:p>
                      <w:pPr>
                        <w:pStyle w:val="COPYRIGHT"/>
                        <w:rPr/>
                      </w:pPr>
                      <w:r>
                        <w:rPr/>
                        <w:t>Fitch ratings are based on information obtained from issuers, other obligors, underwriters, their experts, and other sources Fitch believes to be reliable. Fitch does not audit or verify the truth or accuracy of such information. Ratings may be changed, suspended, or withdrawn as a result of changes in, or the unavailability of, information or for other reasons. Ratings are not a recommendation to buy, sell, or hold any security. Ratings do not comment on the adequacy of market price, the suitability of any security for a particular investor, or the tax-exempt nature or taxability of payments made in respect to any security. Fitch receives fees from issuers, insurers, guarantors, other obligors, and underwriters for rating securities. Such fees generally vary from $1,000 to $750,000 per issue. In certain cases, Fitch will rate all or a number of issues issued by a particular issuer, or insured or guaranteed by a particular insurer or guarantor, for a single annual fee. Such fees are expected to vary from $10,000 to $1,500,000. The assignment, publication, or dissemination of a rating by Fitch shall not constitute a consent by Fitch to use its name as an expert in connection with any registration statement filed under the federal securities laws. Due to the relative efficiency of electronic publishing and distribution, Fitch Research may be available to electronic subscribers up to three days earlier than print subscribers.</w:t>
                      </w:r>
                    </w:p>
                  </w:txbxContent>
                </v:textbox>
                <w10:wrap type="topAndBottom"/>
              </v:rect>
            </w:pict>
          </mc:Fallback>
        </mc:AlternateContent>
      </w:r>
    </w:p>
    <w:p>
      <w:pPr>
        <w:pStyle w:val="Normal"/>
        <w:spacing w:before="0" w:after="240"/>
        <w:rPr>
          <w:lang w:eastAsia="en-CA"/>
        </w:rPr>
      </w:pPr>
      <w:r>
        <w:rPr>
          <w:lang w:eastAsia="en-CA"/>
        </w:rPr>
      </w:r>
    </w:p>
    <w:sectPr>
      <w:type w:val="continuous"/>
      <w:pgSz w:w="12240" w:h="15840"/>
      <w:pgMar w:left="1440" w:right="1440" w:gutter="0" w:header="720" w:top="1440" w:footer="720" w:bottom="1440"/>
      <w:cols w:num="2" w:space="720"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onotype Sorts">
    <w:charset w:val="02"/>
    <w:family w:val="auto"/>
    <w:pitch w:val="variable"/>
  </w:font>
  <w:font w:name="Arial Black">
    <w:charset w:val="00" w:characterSet="windows-1252"/>
    <w:family w:val="swiss"/>
    <w:pitch w:val="variable"/>
  </w:font>
  <w:font w:name="Tahoma">
    <w:charset w:val="00" w:characterSet="windows-1252"/>
    <w:family w:val="swiss"/>
    <w:pitch w:val="variable"/>
  </w:font>
  <w:font w:name="Courier New">
    <w:charset w:val="00" w:characterSet="windows-1252"/>
    <w:family w:val="modern"/>
    <w:pitch w:val="default"/>
  </w:font>
  <w:font w:name="Univers 55">
    <w:charset w:val="00" w:characterSet="windows-1252"/>
    <w:family w:val="swiss"/>
    <w:pitch w:val="variable"/>
  </w:font>
  <w:font w:name="TimesNewRomanP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EVENPAGE"/>
      <w:pBdr/>
      <w:spacing w:before="80" w:after="40"/>
      <w:rPr/>
    </w:pPr>
    <w:r>
      <w:rPr/>
      <mc:AlternateContent>
        <mc:Choice Requires="wps">
          <w:drawing>
            <wp:anchor behindDoc="1" distT="0" distB="0" distL="114935" distR="114935" simplePos="0" locked="0" layoutInCell="1" allowOverlap="1" relativeHeight="3">
              <wp:simplePos x="0" y="0"/>
              <wp:positionH relativeFrom="column">
                <wp:posOffset>-13970</wp:posOffset>
              </wp:positionH>
              <wp:positionV relativeFrom="paragraph">
                <wp:posOffset>1905</wp:posOffset>
              </wp:positionV>
              <wp:extent cx="5967095" cy="0"/>
              <wp:effectExtent l="0" t="3175" r="0" b="3175"/>
              <wp:wrapNone/>
              <wp:docPr id="5" name=""/>
              <a:graphic xmlns:a="http://schemas.openxmlformats.org/drawingml/2006/main">
                <a:graphicData uri="http://schemas.microsoft.com/office/word/2010/wordprocessingShape">
                  <wps:wsp>
                    <wps:cNvSpPr/>
                    <wps:spPr>
                      <a:xfrm>
                        <a:off x="0" y="0"/>
                        <a:ext cx="59670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1pt,0.15pt" to="468.7pt,0.1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4">
              <wp:simplePos x="0" y="0"/>
              <wp:positionH relativeFrom="column">
                <wp:posOffset>-13970</wp:posOffset>
              </wp:positionH>
              <wp:positionV relativeFrom="paragraph">
                <wp:posOffset>1905</wp:posOffset>
              </wp:positionV>
              <wp:extent cx="5962650" cy="0"/>
              <wp:effectExtent l="0" t="3810" r="0" b="3175"/>
              <wp:wrapNone/>
              <wp:docPr id="6" name=""/>
              <a:graphic xmlns:a="http://schemas.openxmlformats.org/drawingml/2006/main">
                <a:graphicData uri="http://schemas.microsoft.com/office/word/2010/wordprocessingShape">
                  <wps:wsp>
                    <wps:cNvSpPr/>
                    <wps:spPr>
                      <a:xfrm>
                        <a:off x="0" y="0"/>
                        <a:ext cx="596268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1pt,0.15pt" to="468.35pt,0.15pt" stroked="t" o:allowincell="f" style="position:absolute">
              <v:stroke color="black" weight="6480" joinstyle="miter" endcap="flat"/>
              <v:fill o:detectmouseclick="t" on="false"/>
              <w10:wrap type="none"/>
            </v:line>
          </w:pict>
        </mc:Fallback>
      </mc:AlternateContent>
    </w:r>
  </w:p>
  <w:p>
    <w:pPr>
      <w:pStyle w:val="FOOTEREVENPAGE"/>
      <w:spacing w:before="80" w:after="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Univers 55" w:hAnsi="Univers 55" w:cs="Univers 55"/>
        <w:b/>
        <w:sz w:val="18"/>
      </w:rPr>
    </w:pPr>
    <w:r>
      <w:rPr>
        <w:rFonts w:cs="Univers 55" w:ascii="Univers 55" w:hAnsi="Univers 55"/>
        <w:b/>
        <w:sz w:val="18"/>
      </w:rPr>
      <w:t>{Date}</w:t>
    </w:r>
    <w:r>
      <mc:AlternateContent>
        <mc:Choice Requires="wps">
          <w:drawing>
            <wp:anchor behindDoc="1" distT="0" distB="0" distL="114935" distR="114935" simplePos="0" locked="0" layoutInCell="1" allowOverlap="1" relativeHeight="0">
              <wp:simplePos x="0" y="0"/>
              <wp:positionH relativeFrom="column">
                <wp:posOffset>4105275</wp:posOffset>
              </wp:positionH>
              <wp:positionV relativeFrom="paragraph">
                <wp:posOffset>93980</wp:posOffset>
              </wp:positionV>
              <wp:extent cx="1901190" cy="600075"/>
              <wp:effectExtent l="0" t="0" r="0" b="0"/>
              <wp:wrapNone/>
              <wp:docPr id="7" name="Frame3"/>
              <a:graphic xmlns:a="http://schemas.openxmlformats.org/drawingml/2006/main">
                <a:graphicData uri="http://schemas.microsoft.com/office/word/2010/wordprocessingShape">
                  <wps:wsp>
                    <wps:cNvSpPr txBox="1"/>
                    <wps:spPr>
                      <a:xfrm>
                        <a:off x="0" y="0"/>
                        <a:ext cx="1901190" cy="600075"/>
                      </a:xfrm>
                      <a:prstGeom prst="rect"/>
                      <a:solidFill>
                        <a:srgbClr val="FFFFFF"/>
                      </a:solidFill>
                      <a:ln w="9525">
                        <a:solidFill>
                          <a:srgbClr val="000000"/>
                        </a:solidFill>
                      </a:ln>
                    </wps:spPr>
                    <wps:txbx>
                      <w:txbxContent>
                        <w:p>
                          <w:pPr>
                            <w:pStyle w:val="DISTRIBUTION"/>
                            <w:rPr/>
                          </w:pPr>
                          <w:r>
                            <w:rPr/>
                            <w:t>FOR DISTRIBUTION ONLY</w:t>
                          </w:r>
                        </w:p>
                        <w:p>
                          <w:pPr>
                            <w:pStyle w:val="EDITOR"/>
                            <w:tabs>
                              <w:tab w:val="clear" w:pos="720"/>
                              <w:tab w:val="left" w:pos="1260" w:leader="none"/>
                            </w:tabs>
                            <w:rPr/>
                          </w:pPr>
                          <w:r>
                            <w:rPr/>
                            <w:t>Editor:</w:t>
                            <w:tab/>
                            <w:t>XXX</w:t>
                          </w:r>
                        </w:p>
                        <w:p>
                          <w:pPr>
                            <w:pStyle w:val="EDITOR"/>
                            <w:tabs>
                              <w:tab w:val="clear" w:pos="720"/>
                              <w:tab w:val="left" w:pos="1260" w:leader="none"/>
                            </w:tabs>
                            <w:rPr/>
                          </w:pPr>
                          <w:r>
                            <w:rPr/>
                            <w:t>Desktop:</w:t>
                            <w:tab/>
                            <w:t>XXX</w:t>
                          </w:r>
                        </w:p>
                        <w:p>
                          <w:pPr>
                            <w:pStyle w:val="EDITOR"/>
                            <w:tabs>
                              <w:tab w:val="clear" w:pos="720"/>
                              <w:tab w:val="left" w:pos="1260" w:leader="none"/>
                            </w:tabs>
                            <w:rPr/>
                          </w:pPr>
                          <w:r>
                            <w:rPr/>
                            <w:t>File Name:</w:t>
                            <w:tab/>
                            <w:t>XXX</w:t>
                          </w:r>
                        </w:p>
                        <w:p>
                          <w:pPr>
                            <w:pStyle w:val="Normal"/>
                            <w:rPr/>
                          </w:pPr>
                          <w:r>
                            <w:rPr/>
                          </w:r>
                        </w:p>
                        <w:p>
                          <w:pPr>
                            <w:pStyle w:val="Normal"/>
                            <w:widowControl/>
                            <w:bidi w:val="0"/>
                            <w:spacing w:before="0" w:after="240"/>
                            <w:jc w:val="both"/>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49.7pt;height:47.25pt;mso-wrap-distance-left:9.05pt;mso-wrap-distance-right:9.05pt;mso-wrap-distance-top:0pt;mso-wrap-distance-bottom:0pt;margin-top:7.4pt;mso-position-vertical-relative:text;margin-left:323.25pt;mso-position-horizontal-relative:text">
              <v:textbox>
                <w:txbxContent>
                  <w:p>
                    <w:pPr>
                      <w:pStyle w:val="DISTRIBUTION"/>
                      <w:rPr/>
                    </w:pPr>
                    <w:r>
                      <w:rPr/>
                      <w:t>FOR DISTRIBUTION ONLY</w:t>
                    </w:r>
                  </w:p>
                  <w:p>
                    <w:pPr>
                      <w:pStyle w:val="EDITOR"/>
                      <w:tabs>
                        <w:tab w:val="clear" w:pos="720"/>
                        <w:tab w:val="left" w:pos="1260" w:leader="none"/>
                      </w:tabs>
                      <w:rPr/>
                    </w:pPr>
                    <w:r>
                      <w:rPr/>
                      <w:t>Editor:</w:t>
                      <w:tab/>
                      <w:t>XXX</w:t>
                    </w:r>
                  </w:p>
                  <w:p>
                    <w:pPr>
                      <w:pStyle w:val="EDITOR"/>
                      <w:tabs>
                        <w:tab w:val="clear" w:pos="720"/>
                        <w:tab w:val="left" w:pos="1260" w:leader="none"/>
                      </w:tabs>
                      <w:rPr/>
                    </w:pPr>
                    <w:r>
                      <w:rPr/>
                      <w:t>Desktop:</w:t>
                      <w:tab/>
                      <w:t>XXX</w:t>
                    </w:r>
                  </w:p>
                  <w:p>
                    <w:pPr>
                      <w:pStyle w:val="EDITOR"/>
                      <w:tabs>
                        <w:tab w:val="clear" w:pos="720"/>
                        <w:tab w:val="left" w:pos="1260" w:leader="none"/>
                      </w:tabs>
                      <w:rPr/>
                    </w:pPr>
                    <w:r>
                      <w:rPr/>
                      <w:t>File Name:</w:t>
                      <w:tab/>
                      <w:t>XXX</w:t>
                    </w:r>
                  </w:p>
                  <w:p>
                    <w:pPr>
                      <w:pStyle w:val="Normal"/>
                      <w:rPr/>
                    </w:pPr>
                    <w:r>
                      <w:rPr/>
                    </w:r>
                  </w:p>
                  <w:p>
                    <w:pPr>
                      <w:pStyle w:val="Normal"/>
                      <w:widowControl/>
                      <w:bidi w:val="0"/>
                      <w:spacing w:before="0" w:after="240"/>
                      <w:jc w:val="both"/>
                      <w:rPr/>
                    </w:pPr>
                    <w:r>
                      <w:rPr/>
                    </w:r>
                  </w:p>
                </w:txbxContent>
              </v:textbox>
              <w10:wrap type="none"/>
            </v:rect>
          </w:pict>
        </mc:Fallback>
      </mc:AlternateContent>
    </w:r>
  </w:p>
  <w:p>
    <w:pPr>
      <w:pStyle w:val="Footer"/>
      <w:rPr>
        <w:rFonts w:ascii="Univers 55" w:hAnsi="Univers 55" w:cs="Univers 55"/>
        <w:b/>
        <w:sz w:val="18"/>
        <w:lang w:val="en-CA"/>
      </w:rPr>
    </w:pPr>
    <w:r>
      <w:rPr>
        <w:rFonts w:cs="Univers 55" w:ascii="Univers 55" w:hAnsi="Univers 55"/>
        <w:b/>
        <w:sz w:val="18"/>
        <w:lang w:val="en-CA"/>
      </w:rPr>
      <mc:AlternateContent>
        <mc:Choice Requires="wps">
          <w:drawing>
            <wp:anchor behindDoc="1" distT="0" distB="0" distL="114935" distR="114935" simplePos="0" locked="0" layoutInCell="1" allowOverlap="1" relativeHeight="2">
              <wp:simplePos x="0" y="0"/>
              <wp:positionH relativeFrom="column">
                <wp:posOffset>0</wp:posOffset>
              </wp:positionH>
              <wp:positionV relativeFrom="paragraph">
                <wp:posOffset>54610</wp:posOffset>
              </wp:positionV>
              <wp:extent cx="5943600" cy="0"/>
              <wp:effectExtent l="0" t="5080" r="0" b="5080"/>
              <wp:wrapNone/>
              <wp:docPr id="8" name=""/>
              <a:graphic xmlns:a="http://schemas.openxmlformats.org/drawingml/2006/main">
                <a:graphicData uri="http://schemas.microsoft.com/office/word/2010/wordprocessingShape">
                  <wps:wsp>
                    <wps:cNvSpPr/>
                    <wps:spPr>
                      <a:xfrm>
                        <a:off x="0" y="0"/>
                        <a:ext cx="5943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4.3pt" to="467.95pt,4.3pt" stroked="t" o:allowincell="f" style="position:absolute">
              <v:stroke color="black" weight="9360" joinstyle="miter" endcap="flat"/>
              <v:fill o:detectmouseclick="t" on="false"/>
              <w10:wrap type="none"/>
            </v:line>
          </w:pict>
        </mc:Fallback>
      </mc:AlternateContent>
    </w:r>
  </w:p>
  <w:p>
    <w:pPr>
      <w:pStyle w:val="Footer"/>
      <w:spacing w:before="0" w:after="240"/>
      <w:jc w:val="center"/>
      <w:rPr>
        <w:rFonts w:ascii="Univers 55" w:hAnsi="Univers 55" w:cs="Univers 55"/>
        <w:sz w:val="16"/>
      </w:rPr>
    </w:pPr>
    <w:r>
      <w:rPr>
        <w:rFonts w:cs="Univers 55" w:ascii="Univers 55" w:hAnsi="Univers 55"/>
        <w:sz w:val="16"/>
      </w:rPr>
      <w:t>www.fitchibca.com</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ATETEXT"/>
      <w:rPr/>
    </w:pPr>
    <w:r>
      <w:rPr/>
      <w:t>September 28, 2001</w:t>
    </w:r>
  </w:p>
  <w:p>
    <w:pPr>
      <w:pStyle w:val="DISCLAIMER1"/>
      <w:widowControl/>
      <w:pBdr>
        <w:top w:val="single" w:sz="4" w:space="4" w:color="000000"/>
      </w:pBdr>
      <w:bidi w:val="0"/>
      <w:spacing w:before="0" w:after="160"/>
      <w:jc w:val="center"/>
      <w:rPr/>
    </w:pPr>
    <w:r>
      <w:rPr/>
      <w:t>www.fitchratings.com</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both"/>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ODDPAGE"/>
      <w:spacing w:before="80" w:after="40"/>
      <w:jc w:val="end"/>
      <w:rPr/>
    </w:pPr>
    <w:r>
      <w:rPr/>
      <mc:AlternateContent>
        <mc:Choice Requires="wps">
          <w:drawing>
            <wp:anchor behindDoc="1" distT="0" distB="0" distL="114935" distR="114935" simplePos="0" locked="0" layoutInCell="1" allowOverlap="1" relativeHeight="7">
              <wp:simplePos x="0" y="0"/>
              <wp:positionH relativeFrom="column">
                <wp:posOffset>-13970</wp:posOffset>
              </wp:positionH>
              <wp:positionV relativeFrom="paragraph">
                <wp:posOffset>1905</wp:posOffset>
              </wp:positionV>
              <wp:extent cx="5960745" cy="1270"/>
              <wp:effectExtent l="635" t="3175" r="635" b="3175"/>
              <wp:wrapNone/>
              <wp:docPr id="9" name=""/>
              <a:graphic xmlns:a="http://schemas.openxmlformats.org/drawingml/2006/main">
                <a:graphicData uri="http://schemas.microsoft.com/office/word/2010/wordprocessingShape">
                  <wps:wsp>
                    <wps:cNvSpPr/>
                    <wps:spPr>
                      <a:xfrm>
                        <a:off x="0" y="0"/>
                        <a:ext cx="5960880" cy="144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1pt,0.15pt" to="468.2pt,0.2pt" stroked="t" o:allowincell="f" style="position:absolute">
              <v:stroke color="black" weight="6480" joinstyle="miter" endcap="flat"/>
              <v:fill o:detectmouseclick="t" on="false"/>
              <w10:wrap type="none"/>
            </v:line>
          </w:pict>
        </mc:Fallback>
      </mc:AlternateContent>
    </w:r>
  </w:p>
  <w:p>
    <w:pPr>
      <w:pStyle w:val="FOOTERODDPAGE"/>
      <w:spacing w:before="80" w:after="40"/>
      <w:jc w:val="center"/>
      <w:rPr/>
    </w:pPr>
    <w:r>
      <w:rPr>
        <w:rStyle w:val="PageNumber"/>
        <w:color w:val="000000"/>
        <w:lang w:val="en-US" w:eastAsia="en-US"/>
      </w:rPr>
      <w:fldChar w:fldCharType="begin"/>
    </w:r>
    <w:r>
      <w:rPr>
        <w:rStyle w:val="PageNumber"/>
        <w:color w:val="000000"/>
        <w:lang w:val="en-US" w:eastAsia="en-US"/>
      </w:rPr>
      <w:instrText xml:space="preserve"> PAGE </w:instrText>
    </w:r>
    <w:r>
      <w:rPr>
        <w:rStyle w:val="PageNumber"/>
        <w:color w:val="000000"/>
        <w:lang w:val="en-US" w:eastAsia="en-US"/>
      </w:rPr>
      <w:fldChar w:fldCharType="separate"/>
    </w:r>
    <w:r>
      <w:rPr>
        <w:rStyle w:val="PageNumber"/>
        <w:color w:val="000000"/>
        <w:lang w:val="en-US" w:eastAsia="en-US"/>
      </w:rPr>
      <w:t>3</w:t>
    </w:r>
    <w:r>
      <w:rPr>
        <w:rStyle w:val="PageNumber"/>
        <w:color w:val="000000"/>
        <w:lang w:val="en-US"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GO"/>
      <w:rPr/>
    </w:pPr>
    <w:r>
      <w:rPr/>
      <w:drawing>
        <wp:anchor behindDoc="0" distT="0" distB="0" distL="114935" distR="114935" simplePos="0" locked="0" layoutInCell="0" allowOverlap="1" relativeHeight="8">
          <wp:simplePos x="0" y="0"/>
          <wp:positionH relativeFrom="column">
            <wp:posOffset>-27305</wp:posOffset>
          </wp:positionH>
          <wp:positionV relativeFrom="paragraph">
            <wp:posOffset>635</wp:posOffset>
          </wp:positionV>
          <wp:extent cx="1069975" cy="567055"/>
          <wp:effectExtent l="0" t="0" r="0" b="0"/>
          <wp:wrapTopAndBottom/>
          <wp:docPr id="2" name="logo%20b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20bw" descr="" title=""/>
                  <pic:cNvPicPr>
                    <a:picLocks noChangeAspect="1" noChangeArrowheads="1"/>
                  </pic:cNvPicPr>
                </pic:nvPicPr>
                <pic:blipFill>
                  <a:blip r:embed="rId1"/>
                  <a:srcRect l="-7" t="-14" r="-7" b="-14"/>
                  <a:stretch>
                    <a:fillRect/>
                  </a:stretch>
                </pic:blipFill>
                <pic:spPr bwMode="auto">
                  <a:xfrm>
                    <a:off x="0" y="0"/>
                    <a:ext cx="1069975" cy="567055"/>
                  </a:xfrm>
                  <a:prstGeom prst="rect">
                    <a:avLst/>
                  </a:prstGeom>
                  <a:noFill/>
                </pic:spPr>
              </pic:pic>
            </a:graphicData>
          </a:graphic>
        </wp:anchor>
      </w:drawing>
    </w:r>
  </w:p>
  <w:p>
    <w:pPr>
      <w:pStyle w:val="HEADER2"/>
      <w:pBdr>
        <w:bottom w:val="single" w:sz="4" w:space="12" w:color="000000"/>
      </w:pBdr>
      <w:spacing w:before="40" w:after="240"/>
      <w:jc w:val="end"/>
      <w:rPr/>
    </w:pPr>
    <w:r>
      <w:rPr/>
      <w:t>Corporates</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GO"/>
      <w:rPr/>
    </w:pPr>
    <w:r>
      <w:rPr/>
      <w:drawing>
        <wp:anchor behindDoc="0" distT="0" distB="0" distL="114935" distR="114935" simplePos="0" locked="0" layoutInCell="1" allowOverlap="1" relativeHeight="0">
          <wp:simplePos x="0" y="0"/>
          <wp:positionH relativeFrom="column">
            <wp:posOffset>-27305</wp:posOffset>
          </wp:positionH>
          <wp:positionV relativeFrom="paragraph">
            <wp:posOffset>635</wp:posOffset>
          </wp:positionV>
          <wp:extent cx="1069975" cy="567055"/>
          <wp:effectExtent l="0" t="0" r="0" b="0"/>
          <wp:wrapTopAndBottom/>
          <wp:docPr id="3" name="logo%20b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20bw" descr="" title=""/>
                  <pic:cNvPicPr>
                    <a:picLocks noChangeAspect="1" noChangeArrowheads="1"/>
                  </pic:cNvPicPr>
                </pic:nvPicPr>
                <pic:blipFill>
                  <a:blip r:embed="rId1"/>
                  <a:stretch>
                    <a:fillRect/>
                  </a:stretch>
                </pic:blipFill>
                <pic:spPr bwMode="auto">
                  <a:xfrm>
                    <a:off x="0" y="0"/>
                    <a:ext cx="1069975" cy="567055"/>
                  </a:xfrm>
                  <a:prstGeom prst="rect">
                    <a:avLst/>
                  </a:prstGeom>
                </pic:spPr>
              </pic:pic>
            </a:graphicData>
          </a:graphic>
        </wp:anchor>
      </w:drawing>
    </w:r>
  </w:p>
  <w:p>
    <w:pPr>
      <w:pStyle w:val="HEADER2"/>
      <w:pBdr>
        <w:bottom w:val="single" w:sz="4" w:space="12" w:color="000000"/>
      </w:pBdr>
      <w:spacing w:before="40" w:after="240"/>
      <w:jc w:val="end"/>
      <w:rPr/>
    </w:pPr>
    <w:r>
      <w:rPr/>
      <w:t>Corporates</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GO"/>
      <w:rPr/>
    </w:pPr>
    <w:r>
      <w:rPr/>
      <w:drawing>
        <wp:anchor behindDoc="0" distT="0" distB="0" distL="114935" distR="114935" simplePos="0" locked="0" layoutInCell="0" allowOverlap="1" relativeHeight="6">
          <wp:simplePos x="0" y="0"/>
          <wp:positionH relativeFrom="column">
            <wp:posOffset>-27305</wp:posOffset>
          </wp:positionH>
          <wp:positionV relativeFrom="paragraph">
            <wp:posOffset>635</wp:posOffset>
          </wp:positionV>
          <wp:extent cx="1069975" cy="567055"/>
          <wp:effectExtent l="0" t="0" r="0" b="0"/>
          <wp:wrapTopAndBottom/>
          <wp:docPr id="4" name="logo%20b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0bw" descr="" title=""/>
                  <pic:cNvPicPr>
                    <a:picLocks noChangeAspect="1" noChangeArrowheads="1"/>
                  </pic:cNvPicPr>
                </pic:nvPicPr>
                <pic:blipFill>
                  <a:blip r:embed="rId1"/>
                  <a:srcRect l="-7" t="-14" r="-7" b="-14"/>
                  <a:stretch>
                    <a:fillRect/>
                  </a:stretch>
                </pic:blipFill>
                <pic:spPr bwMode="auto">
                  <a:xfrm>
                    <a:off x="0" y="0"/>
                    <a:ext cx="1069975" cy="567055"/>
                  </a:xfrm>
                  <a:prstGeom prst="rect">
                    <a:avLst/>
                  </a:prstGeom>
                  <a:noFill/>
                </pic:spPr>
              </pic:pic>
            </a:graphicData>
          </a:graphic>
        </wp:anchor>
      </w:drawing>
    </w:r>
  </w:p>
  <w:p>
    <w:pPr>
      <w:pStyle w:val="HEADER2"/>
      <w:pBdr>
        <w:bottom w:val="single" w:sz="4" w:space="12" w:color="000000"/>
      </w:pBdr>
      <w:spacing w:before="40" w:after="240"/>
      <w:jc w:val="end"/>
      <w:rPr/>
    </w:pPr>
    <w:r>
      <w:rPr/>
      <w:t>Corporates</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jc w:val="both"/>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jc w:val="both"/>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216" w:hanging="216"/>
      </w:pPr>
      <w:rPr>
        <w:rFonts w:ascii="Symbol" w:hAnsi="Symbol" w:cs="Symbol" w:hint="default"/>
      </w:rPr>
    </w:lvl>
  </w:abstractNum>
  <w:abstractNum w:abstractNumId="14">
    <w:lvl w:ilvl="0">
      <w:start w:val="1"/>
      <w:numFmt w:val="bullet"/>
      <w:lvlText w:val=""/>
      <w:lvlJc w:val="start"/>
      <w:pPr>
        <w:tabs>
          <w:tab w:val="num" w:pos="360"/>
        </w:tabs>
        <w:ind w:start="72" w:hanging="72"/>
      </w:pPr>
      <w:rPr>
        <w:rFonts w:ascii="Monotype Sorts" w:hAnsi="Monotype Sorts" w:cs="Monotype Sorts" w:hint="default"/>
        <w:smallCaps w:val="false"/>
        <w:caps w:val="false"/>
        <w:outline w:val="false"/>
        <w:dstrike w:val="false"/>
        <w:strike w:val="false"/>
        <w:vertAlign w:val="baseline"/>
        <w:position w:val="0"/>
        <w:sz w:val="20"/>
        <w:sz w:val="20"/>
        <w:shadow w:val="false"/>
        <w:vanish w:val="false"/>
        <w:color w:val="auto"/>
      </w:rPr>
    </w:lvl>
  </w:abstractNum>
  <w:abstractNum w:abstractNumId="15">
    <w:lvl w:ilvl="0">
      <w:numFmt w:val="bullet"/>
      <w:lvlText w:val=""/>
      <w:lvlJc w:val="start"/>
      <w:pPr>
        <w:tabs>
          <w:tab w:val="num" w:pos="360"/>
        </w:tabs>
        <w:ind w:start="360" w:hanging="360"/>
      </w:pPr>
      <w:rPr>
        <w:rFonts w:ascii="Monotype Sorts" w:hAnsi="Monotype Sorts" w:cs="Monotype Sorts" w:hint="default"/>
        <w:dstrike w:val="false"/>
        <w:strike w:val="false"/>
        <w:sz w:val="20"/>
      </w:rPr>
    </w:lvl>
  </w:abstractNum>
  <w:abstractNum w:abstractNumId="16">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jc w:val="both"/>
    </w:pPr>
    <w:rPr>
      <w:rFonts w:ascii="Times New Roman" w:hAnsi="Times New Roman" w:eastAsia="Times New Roman" w:cs="Times New Roman"/>
      <w:color w:val="000000"/>
      <w:sz w:val="20"/>
      <w:szCs w:val="20"/>
      <w:lang w:val="en-US" w:eastAsia="en-US" w:bidi="hi-IN"/>
    </w:rPr>
  </w:style>
  <w:style w:type="paragraph" w:styleId="Heading1">
    <w:name w:val="heading 1"/>
    <w:basedOn w:val="Normal"/>
    <w:next w:val="Normal"/>
    <w:qFormat/>
    <w:pPr>
      <w:keepNext w:val="true"/>
      <w:numPr>
        <w:ilvl w:val="0"/>
        <w:numId w:val="1"/>
      </w:numPr>
      <w:spacing w:before="0" w:after="240"/>
      <w:jc w:val="both"/>
      <w:outlineLvl w:val="0"/>
    </w:pPr>
    <w:rPr>
      <w:b/>
      <w:color w:val="000000"/>
      <w:lang w:eastAsia="en-US"/>
    </w:rPr>
  </w:style>
  <w:style w:type="paragraph" w:styleId="Heading2">
    <w:name w:val="heading 2"/>
    <w:basedOn w:val="Normal"/>
    <w:next w:val="Normal"/>
    <w:qFormat/>
    <w:pPr>
      <w:keepNext w:val="true"/>
      <w:numPr>
        <w:ilvl w:val="1"/>
        <w:numId w:val="1"/>
      </w:numPr>
      <w:spacing w:before="0" w:after="240"/>
      <w:ind w:hanging="0" w:start="0" w:end="864"/>
      <w:jc w:val="both"/>
      <w:outlineLvl w:val="1"/>
    </w:pPr>
    <w:rPr>
      <w:color w:val="000000"/>
      <w:lang w:eastAsia="en-US"/>
    </w:rPr>
  </w:style>
  <w:style w:type="paragraph" w:styleId="Heading3">
    <w:name w:val="heading 3"/>
    <w:basedOn w:val="Normal"/>
    <w:next w:val="Normal"/>
    <w:qFormat/>
    <w:pPr>
      <w:keepNext w:val="true"/>
      <w:numPr>
        <w:ilvl w:val="2"/>
        <w:numId w:val="1"/>
      </w:numPr>
      <w:spacing w:before="240" w:after="60"/>
      <w:jc w:val="both"/>
      <w:outlineLvl w:val="2"/>
    </w:pPr>
    <w:rPr>
      <w:rFonts w:ascii="Arial" w:hAnsi="Arial" w:cs="Arial"/>
      <w:color w:val="000000"/>
      <w:lang w:eastAsia="en-US"/>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4z0">
    <w:name w:val="WW8Num14z0"/>
    <w:qFormat/>
    <w:rPr>
      <w:rFonts w:ascii="Monotype Sorts" w:hAnsi="Monotype Sorts" w:cs="Monotype Sorts"/>
      <w:caps w:val="false"/>
      <w:smallCaps w:val="false"/>
      <w:strike w:val="false"/>
      <w:dstrike w:val="false"/>
      <w:outline w:val="false"/>
      <w:shadow w:val="false"/>
      <w:vanish w:val="false"/>
      <w:color w:val="auto"/>
      <w:position w:val="0"/>
      <w:sz w:val="20"/>
      <w:sz w:val="20"/>
      <w:vertAlign w:val="baseline"/>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style>
  <w:style w:type="character" w:styleId="WW8Num28z0">
    <w:name w:val="WW8Num28z0"/>
    <w:qFormat/>
    <w:rPr>
      <w:rFonts w:ascii="Monotype Sorts" w:hAnsi="Monotype Sorts" w:cs="Monotype Sorts"/>
      <w:caps w:val="false"/>
      <w:smallCaps w:val="false"/>
      <w:strike w:val="false"/>
      <w:dstrike w:val="false"/>
      <w:outline w:val="false"/>
      <w:shadow w:val="false"/>
      <w:vanish w:val="false"/>
      <w:color w:val="auto"/>
      <w:position w:val="0"/>
      <w:sz w:val="20"/>
      <w:sz w:val="20"/>
      <w:vertAlign w:val="baseline"/>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Times New Roman" w:hAnsi="Times New Roman" w:cs="Times New Roman"/>
    </w:rPr>
  </w:style>
  <w:style w:type="character" w:styleId="WW8Num32z0">
    <w:name w:val="WW8Num32z0"/>
    <w:qFormat/>
    <w:rPr>
      <w:rFonts w:ascii="Symbol" w:hAnsi="Symbol" w:cs="Symbol"/>
    </w:rPr>
  </w:style>
  <w:style w:type="character" w:styleId="WW8Num33z0">
    <w:name w:val="WW8Num33z0"/>
    <w:qFormat/>
    <w:rPr>
      <w:rFonts w:ascii="Monotype Sorts" w:hAnsi="Monotype Sorts" w:cs="Monotype Sorts"/>
      <w:color w:val="auto"/>
      <w:sz w:val="20"/>
    </w:rPr>
  </w:style>
  <w:style w:type="character" w:styleId="WW8NumSt17z0">
    <w:name w:val="WW8NumSt17z0"/>
    <w:qFormat/>
    <w:rPr>
      <w:rFonts w:ascii="Monotype Sorts" w:hAnsi="Monotype Sorts" w:cs="Monotype Sorts"/>
      <w:strike w:val="false"/>
      <w:dstrike w:val="false"/>
      <w:sz w:val="20"/>
    </w:rPr>
  </w:style>
  <w:style w:type="character" w:styleId="WW8NumSt18z0">
    <w:name w:val="WW8NumSt18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rFonts w:ascii="Arial" w:hAnsi="Arial" w:cs="Arial"/>
      <w:sz w:val="16"/>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ANKNAME">
    <w:name w:val="BANKNAME"/>
    <w:qFormat/>
    <w:pPr>
      <w:widowControl/>
      <w:bidi w:val="0"/>
      <w:spacing w:before="120" w:after="0"/>
    </w:pPr>
    <w:rPr>
      <w:rFonts w:ascii="Arial Black" w:hAnsi="Arial Black" w:eastAsia="Times New Roman" w:cs="Arial Black"/>
      <w:color w:val="auto"/>
      <w:sz w:val="32"/>
      <w:szCs w:val="20"/>
      <w:lang w:val="en-CA" w:eastAsia="zh-CN" w:bidi="hi-IN"/>
    </w:rPr>
  </w:style>
  <w:style w:type="paragraph" w:styleId="BULLET">
    <w:name w:val="BULLET"/>
    <w:basedOn w:val="Normal"/>
    <w:qFormat/>
    <w:pPr>
      <w:numPr>
        <w:ilvl w:val="0"/>
        <w:numId w:val="12"/>
      </w:numPr>
      <w:spacing w:before="0" w:after="0"/>
    </w:pPr>
    <w:rPr>
      <w:lang w:val="en-CA"/>
    </w:rPr>
  </w:style>
  <w:style w:type="paragraph" w:styleId="COPYRIGHT">
    <w:name w:val="COPYRIGHT"/>
    <w:qFormat/>
    <w:pPr>
      <w:widowControl/>
      <w:bidi w:val="0"/>
      <w:jc w:val="both"/>
    </w:pPr>
    <w:rPr>
      <w:rFonts w:ascii="Times New Roman" w:hAnsi="Times New Roman" w:eastAsia="Times New Roman" w:cs="Times New Roman"/>
      <w:color w:val="auto"/>
      <w:sz w:val="12"/>
      <w:szCs w:val="20"/>
      <w:lang w:val="en-CA" w:eastAsia="zh-CN" w:bidi="hi-IN"/>
    </w:rPr>
  </w:style>
  <w:style w:type="paragraph" w:styleId="DATETEXT">
    <w:name w:val="DATE TEXT"/>
    <w:qFormat/>
    <w:pPr>
      <w:widowControl/>
      <w:bidi w:val="0"/>
      <w:spacing w:before="0" w:after="40"/>
    </w:pPr>
    <w:rPr>
      <w:rFonts w:ascii="Arial Black" w:hAnsi="Arial Black" w:eastAsia="Times New Roman" w:cs="Arial Black"/>
      <w:color w:val="auto"/>
      <w:sz w:val="18"/>
      <w:szCs w:val="20"/>
      <w:lang w:val="en-CA" w:eastAsia="zh-CN" w:bidi="hi-IN"/>
    </w:rPr>
  </w:style>
  <w:style w:type="paragraph" w:styleId="DECKRATINGS">
    <w:name w:val="DECK RATINGS"/>
    <w:qFormat/>
    <w:pPr>
      <w:widowControl/>
      <w:tabs>
        <w:tab w:val="clear" w:pos="720"/>
        <w:tab w:val="right" w:pos="3341" w:leader="dot"/>
      </w:tabs>
      <w:bidi w:val="0"/>
      <w:ind w:hanging="187" w:start="187" w:end="0"/>
    </w:pPr>
    <w:rPr>
      <w:rFonts w:ascii="Arial" w:hAnsi="Arial" w:eastAsia="Times New Roman" w:cs="Arial"/>
      <w:color w:val="auto"/>
      <w:sz w:val="14"/>
      <w:szCs w:val="20"/>
      <w:lang w:val="en-CA" w:eastAsia="zh-CN" w:bidi="hi-IN"/>
    </w:rPr>
  </w:style>
  <w:style w:type="paragraph" w:styleId="DECKSUBHEAD">
    <w:name w:val="DECK SUBHEAD"/>
    <w:qFormat/>
    <w:pPr>
      <w:widowControl/>
      <w:bidi w:val="0"/>
      <w:spacing w:before="240" w:after="0"/>
    </w:pPr>
    <w:rPr>
      <w:rFonts w:ascii="Arial Black" w:hAnsi="Arial Black" w:eastAsia="Times New Roman" w:cs="Arial Black"/>
      <w:color w:val="auto"/>
      <w:sz w:val="20"/>
      <w:szCs w:val="20"/>
      <w:lang w:val="en-US" w:eastAsia="zh-CN" w:bidi="hi-IN"/>
    </w:rPr>
  </w:style>
  <w:style w:type="paragraph" w:styleId="DECKTEXT">
    <w:name w:val="DECK TEXT"/>
    <w:qFormat/>
    <w:pPr>
      <w:widowControl/>
      <w:bidi w:val="0"/>
      <w:jc w:val="both"/>
    </w:pPr>
    <w:rPr>
      <w:rFonts w:ascii="Times New Roman" w:hAnsi="Times New Roman" w:eastAsia="Times New Roman" w:cs="Times New Roman"/>
      <w:color w:val="auto"/>
      <w:sz w:val="18"/>
      <w:szCs w:val="20"/>
      <w:lang w:val="en-CA" w:eastAsia="zh-CN" w:bidi="hi-IN"/>
    </w:rPr>
  </w:style>
  <w:style w:type="paragraph" w:styleId="DEPARTMENT">
    <w:name w:val="DEPARTMENT"/>
    <w:qFormat/>
    <w:pPr>
      <w:widowControl/>
      <w:bidi w:val="0"/>
      <w:spacing w:before="120" w:after="0"/>
    </w:pPr>
    <w:rPr>
      <w:rFonts w:ascii="Arial" w:hAnsi="Arial" w:eastAsia="Times New Roman" w:cs="Arial"/>
      <w:color w:val="auto"/>
      <w:sz w:val="24"/>
      <w:szCs w:val="20"/>
      <w:lang w:val="en-CA" w:eastAsia="zh-CN" w:bidi="hi-IN"/>
    </w:rPr>
  </w:style>
  <w:style w:type="paragraph" w:styleId="DISCLAIMER1">
    <w:name w:val="DISCLAIMER1"/>
    <w:qFormat/>
    <w:pPr>
      <w:widowControl/>
      <w:pBdr>
        <w:top w:val="single" w:sz="4" w:space="4" w:color="000000"/>
      </w:pBdr>
      <w:bidi w:val="0"/>
      <w:spacing w:before="0" w:after="160"/>
      <w:jc w:val="center"/>
    </w:pPr>
    <w:rPr>
      <w:rFonts w:ascii="Arial" w:hAnsi="Arial" w:eastAsia="Times New Roman" w:cs="Arial"/>
      <w:color w:val="auto"/>
      <w:sz w:val="16"/>
      <w:szCs w:val="20"/>
      <w:lang w:val="en-CA" w:eastAsia="zh-CN" w:bidi="hi-IN"/>
    </w:rPr>
  </w:style>
  <w:style w:type="paragraph" w:styleId="DISTRIBUTION">
    <w:name w:val="DISTRIBUTION"/>
    <w:qFormat/>
    <w:pPr>
      <w:widowControl/>
      <w:bidi w:val="0"/>
      <w:spacing w:before="0" w:after="40"/>
    </w:pPr>
    <w:rPr>
      <w:rFonts w:ascii="Arial Black" w:hAnsi="Arial Black" w:eastAsia="Times New Roman" w:cs="Arial Black"/>
      <w:color w:val="auto"/>
      <w:sz w:val="16"/>
      <w:szCs w:val="20"/>
      <w:lang w:val="en-CA" w:eastAsia="zh-CN" w:bidi="hi-IN"/>
    </w:rPr>
  </w:style>
  <w:style w:type="paragraph" w:styleId="EDITOR">
    <w:name w:val="EDITOR"/>
    <w:qFormat/>
    <w:pPr>
      <w:widowControl/>
      <w:bidi w:val="0"/>
    </w:pPr>
    <w:rPr>
      <w:rFonts w:ascii="Times New Roman" w:hAnsi="Times New Roman" w:eastAsia="Times New Roman" w:cs="Times New Roman"/>
      <w:color w:val="auto"/>
      <w:sz w:val="16"/>
      <w:szCs w:val="20"/>
      <w:lang w:val="en-CA"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spacing w:before="0" w:after="240"/>
      <w:jc w:val="both"/>
    </w:pPr>
    <w:rPr>
      <w:color w:val="000000"/>
      <w:lang w:eastAsia="en-US"/>
    </w:rPr>
  </w:style>
  <w:style w:type="paragraph" w:styleId="DISCLAIMER2">
    <w:name w:val="DISCLAIMER2"/>
    <w:qFormat/>
    <w:pPr>
      <w:widowControl/>
      <w:pBdr>
        <w:top w:val="single" w:sz="4" w:space="5" w:color="000000"/>
      </w:pBdr>
      <w:bidi w:val="0"/>
      <w:spacing w:before="0" w:after="80"/>
    </w:pPr>
    <w:rPr>
      <w:rFonts w:ascii="Arial" w:hAnsi="Arial" w:eastAsia="Times New Roman" w:cs="Arial"/>
      <w:color w:val="auto"/>
      <w:sz w:val="16"/>
      <w:szCs w:val="20"/>
      <w:lang w:val="en-CA" w:eastAsia="zh-CN" w:bidi="hi-IN"/>
    </w:rPr>
  </w:style>
  <w:style w:type="paragraph" w:styleId="FOOTEREVENPAGE">
    <w:name w:val="FOOTER/EVEN PAGE"/>
    <w:basedOn w:val="DISCLAIMER2"/>
    <w:qFormat/>
    <w:pPr>
      <w:pBdr>
        <w:top w:val="nil"/>
      </w:pBdr>
      <w:tabs>
        <w:tab w:val="clear" w:pos="720"/>
        <w:tab w:val="center" w:pos="4608" w:leader="none"/>
      </w:tabs>
      <w:spacing w:before="80" w:after="40"/>
    </w:pPr>
    <w:rPr/>
  </w:style>
  <w:style w:type="paragraph" w:styleId="FOOTERODDPAGE">
    <w:name w:val="FOOTER/ODD PAGE"/>
    <w:basedOn w:val="FOOTEREVENPAGE"/>
    <w:qFormat/>
    <w:pPr>
      <w:tabs>
        <w:tab w:val="center" w:pos="4608" w:leader="none"/>
        <w:tab w:val="right" w:pos="9360" w:leader="none"/>
      </w:tabs>
      <w:jc w:val="end"/>
    </w:pPr>
    <w:rPr/>
  </w:style>
  <w:style w:type="paragraph" w:styleId="Header">
    <w:name w:val="header"/>
    <w:basedOn w:val="Normal"/>
    <w:pPr>
      <w:tabs>
        <w:tab w:val="clear" w:pos="720"/>
        <w:tab w:val="center" w:pos="4320" w:leader="none"/>
        <w:tab w:val="right" w:pos="8640" w:leader="none"/>
      </w:tabs>
      <w:spacing w:before="0" w:after="240"/>
      <w:jc w:val="both"/>
    </w:pPr>
    <w:rPr>
      <w:color w:val="000000"/>
      <w:lang w:eastAsia="en-US"/>
    </w:rPr>
  </w:style>
  <w:style w:type="paragraph" w:styleId="HEADER1">
    <w:name w:val="HEADER1"/>
    <w:qFormat/>
    <w:pPr>
      <w:widowControl/>
      <w:pBdr>
        <w:bottom w:val="single" w:sz="4" w:space="29" w:color="000000"/>
      </w:pBdr>
      <w:bidi w:val="0"/>
      <w:spacing w:before="0" w:after="240"/>
    </w:pPr>
    <w:rPr>
      <w:rFonts w:ascii="Arial" w:hAnsi="Arial" w:eastAsia="Times New Roman" w:cs="Arial"/>
      <w:color w:val="auto"/>
      <w:sz w:val="24"/>
      <w:szCs w:val="20"/>
      <w:lang w:val="en-CA" w:eastAsia="zh-CN" w:bidi="hi-IN"/>
    </w:rPr>
  </w:style>
  <w:style w:type="paragraph" w:styleId="HEADER2">
    <w:name w:val="HEADER2"/>
    <w:basedOn w:val="HEADER1"/>
    <w:qFormat/>
    <w:pPr>
      <w:pBdr>
        <w:bottom w:val="single" w:sz="4" w:space="12" w:color="000000"/>
      </w:pBdr>
      <w:spacing w:before="40" w:after="240"/>
      <w:jc w:val="end"/>
    </w:pPr>
    <w:rPr>
      <w:rFonts w:ascii="Times New Roman" w:hAnsi="Times New Roman" w:cs="Times New Roman"/>
      <w:sz w:val="48"/>
    </w:rPr>
  </w:style>
  <w:style w:type="paragraph" w:styleId="LASTPARAGRAPH">
    <w:name w:val="LAST PARAGRAPH"/>
    <w:qFormat/>
    <w:pPr>
      <w:widowControl/>
      <w:bidi w:val="0"/>
      <w:jc w:val="both"/>
    </w:pPr>
    <w:rPr>
      <w:rFonts w:ascii="Times New Roman" w:hAnsi="Times New Roman" w:eastAsia="Times New Roman" w:cs="Times New Roman"/>
      <w:color w:val="auto"/>
      <w:sz w:val="20"/>
      <w:szCs w:val="20"/>
      <w:lang w:val="en-CA" w:eastAsia="zh-CN" w:bidi="hi-IN"/>
    </w:rPr>
  </w:style>
  <w:style w:type="paragraph" w:styleId="LOGO">
    <w:name w:val="LOGO"/>
    <w:qFormat/>
    <w:pPr>
      <w:widowControl/>
      <w:bidi w:val="0"/>
    </w:pPr>
    <w:rPr>
      <w:rFonts w:ascii="Times New Roman" w:hAnsi="Times New Roman" w:eastAsia="Times New Roman" w:cs="Times New Roman"/>
      <w:color w:val="auto"/>
      <w:sz w:val="10"/>
      <w:szCs w:val="20"/>
      <w:lang w:val="en-CA" w:eastAsia="zh-CN" w:bidi="hi-IN"/>
    </w:rPr>
  </w:style>
  <w:style w:type="paragraph" w:styleId="SUBHEAD">
    <w:name w:val="SUBHEAD"/>
    <w:next w:val="Normal"/>
    <w:qFormat/>
    <w:pPr>
      <w:keepNext w:val="true"/>
      <w:widowControl/>
      <w:numPr>
        <w:ilvl w:val="0"/>
        <w:numId w:val="14"/>
      </w:numPr>
      <w:bidi w:val="0"/>
      <w:spacing w:before="240" w:after="0"/>
      <w:ind w:hanging="360" w:start="360" w:end="0"/>
    </w:pPr>
    <w:rPr>
      <w:rFonts w:ascii="Arial Black" w:hAnsi="Arial Black" w:eastAsia="Times New Roman" w:cs="Arial Black"/>
      <w:color w:val="auto"/>
      <w:sz w:val="20"/>
      <w:szCs w:val="20"/>
      <w:lang w:val="en-CA" w:eastAsia="zh-CN" w:bidi="hi-IN"/>
    </w:rPr>
  </w:style>
  <w:style w:type="paragraph" w:styleId="TBLLEFT">
    <w:name w:val="TBL LEFT"/>
    <w:qFormat/>
    <w:pPr>
      <w:widowControl/>
      <w:bidi w:val="0"/>
      <w:ind w:hanging="173" w:start="173" w:end="0"/>
    </w:pPr>
    <w:rPr>
      <w:rFonts w:ascii="Arial" w:hAnsi="Arial" w:eastAsia="Times New Roman" w:cs="Arial"/>
      <w:color w:val="auto"/>
      <w:sz w:val="16"/>
      <w:szCs w:val="20"/>
      <w:lang w:val="en-CA" w:eastAsia="zh-CN" w:bidi="hi-IN"/>
    </w:rPr>
  </w:style>
  <w:style w:type="paragraph" w:styleId="TBLSPACE">
    <w:name w:val="TBL SPACE"/>
    <w:qFormat/>
    <w:pPr>
      <w:widowControl/>
      <w:bidi w:val="0"/>
      <w:jc w:val="end"/>
    </w:pPr>
    <w:rPr>
      <w:rFonts w:ascii="Times New Roman" w:hAnsi="Times New Roman" w:eastAsia="Times New Roman" w:cs="Times New Roman"/>
      <w:color w:val="auto"/>
      <w:sz w:val="10"/>
      <w:szCs w:val="20"/>
      <w:lang w:val="en-CA" w:eastAsia="zh-CN" w:bidi="hi-IN"/>
    </w:rPr>
  </w:style>
  <w:style w:type="paragraph" w:styleId="BANKNAME1">
    <w:name w:val="BANKNAME1"/>
    <w:qFormat/>
    <w:pPr>
      <w:widowControl/>
      <w:bidi w:val="0"/>
      <w:spacing w:before="0" w:after="120"/>
    </w:pPr>
    <w:rPr>
      <w:rFonts w:ascii="Arial" w:hAnsi="Arial" w:eastAsia="Times New Roman" w:cs="Arial"/>
      <w:color w:val="auto"/>
      <w:sz w:val="28"/>
      <w:szCs w:val="20"/>
      <w:lang w:val="en-CA" w:eastAsia="zh-CN" w:bidi="hi-IN"/>
    </w:rPr>
  </w:style>
  <w:style w:type="paragraph" w:styleId="BODYTEXT1">
    <w:name w:val="BODY TEXT1"/>
    <w:qFormat/>
    <w:pPr>
      <w:widowControl/>
      <w:bidi w:val="0"/>
      <w:jc w:val="both"/>
    </w:pPr>
    <w:rPr>
      <w:rFonts w:ascii="Times New Roman" w:hAnsi="Times New Roman" w:eastAsia="Times New Roman" w:cs="Times New Roman"/>
      <w:color w:val="auto"/>
      <w:sz w:val="20"/>
      <w:szCs w:val="20"/>
      <w:lang w:val="en-CA" w:eastAsia="zh-CN" w:bidi="hi-IN"/>
    </w:rPr>
  </w:style>
  <w:style w:type="paragraph" w:styleId="BODYTEXT2">
    <w:name w:val="BODY TEXT2"/>
    <w:qFormat/>
    <w:pPr>
      <w:widowControl/>
      <w:bidi w:val="0"/>
      <w:spacing w:before="0" w:after="60"/>
      <w:jc w:val="both"/>
    </w:pPr>
    <w:rPr>
      <w:rFonts w:ascii="Times New Roman" w:hAnsi="Times New Roman" w:eastAsia="Times New Roman" w:cs="Times New Roman"/>
      <w:color w:val="auto"/>
      <w:sz w:val="20"/>
      <w:szCs w:val="20"/>
      <w:lang w:val="en-CA" w:eastAsia="zh-CN" w:bidi="hi-IN"/>
    </w:rPr>
  </w:style>
  <w:style w:type="paragraph" w:styleId="date">
    <w:name w:val="date"/>
    <w:qFormat/>
    <w:pPr>
      <w:widowControl/>
      <w:bidi w:val="0"/>
    </w:pPr>
    <w:rPr>
      <w:rFonts w:ascii="Times New Roman" w:hAnsi="Times New Roman" w:eastAsia="Times New Roman" w:cs="Times New Roman"/>
      <w:color w:val="auto"/>
      <w:sz w:val="20"/>
      <w:szCs w:val="20"/>
      <w:lang w:val="en-CA" w:eastAsia="zh-CN" w:bidi="hi-IN"/>
    </w:rPr>
  </w:style>
  <w:style w:type="paragraph" w:styleId="DECKFOOTNOTE">
    <w:name w:val="DECK FOOTNOTE"/>
    <w:qFormat/>
    <w:pPr>
      <w:widowControl/>
      <w:bidi w:val="0"/>
      <w:spacing w:before="60" w:after="0"/>
      <w:jc w:val="both"/>
    </w:pPr>
    <w:rPr>
      <w:rFonts w:ascii="Times New Roman" w:hAnsi="Times New Roman" w:eastAsia="Times New Roman" w:cs="Times New Roman"/>
      <w:color w:val="auto"/>
      <w:sz w:val="14"/>
      <w:szCs w:val="20"/>
      <w:lang w:val="en-CA" w:eastAsia="zh-CN" w:bidi="hi-IN"/>
    </w:rPr>
  </w:style>
  <w:style w:type="paragraph" w:styleId="DECKSUBHEAD1">
    <w:name w:val="DECK SUBHEAD1"/>
    <w:qFormat/>
    <w:pPr>
      <w:widowControl/>
      <w:bidi w:val="0"/>
    </w:pPr>
    <w:rPr>
      <w:rFonts w:ascii="Arial Black" w:hAnsi="Arial Black" w:eastAsia="Times New Roman" w:cs="Arial Black"/>
      <w:color w:val="auto"/>
      <w:sz w:val="18"/>
      <w:szCs w:val="20"/>
      <w:lang w:val="en-CA" w:eastAsia="zh-CN" w:bidi="hi-IN"/>
    </w:rPr>
  </w:style>
  <w:style w:type="paragraph" w:styleId="DECKSUBHEAD2">
    <w:name w:val="DECK SUBHEAD2"/>
    <w:qFormat/>
    <w:pPr>
      <w:widowControl/>
      <w:bidi w:val="0"/>
      <w:spacing w:before="120" w:after="0"/>
    </w:pPr>
    <w:rPr>
      <w:rFonts w:ascii="Arial Black" w:hAnsi="Arial Black" w:eastAsia="Times New Roman" w:cs="Arial Black"/>
      <w:color w:val="auto"/>
      <w:sz w:val="18"/>
      <w:szCs w:val="20"/>
      <w:lang w:val="en-CA" w:eastAsia="zh-CN" w:bidi="hi-IN"/>
    </w:rPr>
  </w:style>
  <w:style w:type="paragraph" w:styleId="DECKTOCSUBHEAD">
    <w:name w:val="DECK TOC SUBHEAD"/>
    <w:qFormat/>
    <w:pPr>
      <w:widowControl/>
      <w:tabs>
        <w:tab w:val="clear" w:pos="720"/>
        <w:tab w:val="right" w:pos="3168" w:leader="none"/>
      </w:tabs>
      <w:bidi w:val="0"/>
      <w:spacing w:before="240" w:after="60"/>
    </w:pPr>
    <w:rPr>
      <w:rFonts w:ascii="Arial Black" w:hAnsi="Arial Black" w:eastAsia="Times New Roman" w:cs="Arial Black"/>
      <w:color w:val="auto"/>
      <w:sz w:val="20"/>
      <w:szCs w:val="20"/>
      <w:lang w:val="en-CA" w:eastAsia="zh-CN" w:bidi="hi-IN"/>
    </w:rPr>
  </w:style>
  <w:style w:type="paragraph" w:styleId="DECKTOCSUBHEAD1">
    <w:name w:val="DECK TOC SUBHEAD1"/>
    <w:qFormat/>
    <w:pPr>
      <w:widowControl/>
      <w:tabs>
        <w:tab w:val="clear" w:pos="720"/>
        <w:tab w:val="right" w:pos="3168" w:leader="dot"/>
      </w:tabs>
      <w:bidi w:val="0"/>
      <w:spacing w:before="60" w:after="0"/>
    </w:pPr>
    <w:rPr>
      <w:rFonts w:ascii="Times New Roman" w:hAnsi="Times New Roman" w:eastAsia="Times New Roman" w:cs="Times New Roman"/>
      <w:b/>
      <w:color w:val="auto"/>
      <w:sz w:val="18"/>
      <w:szCs w:val="20"/>
      <w:lang w:val="en-CA" w:eastAsia="zh-CN" w:bidi="hi-IN"/>
    </w:rPr>
  </w:style>
  <w:style w:type="paragraph" w:styleId="DECKTOCTEXT">
    <w:name w:val="DECK TOC TEXT"/>
    <w:qFormat/>
    <w:pPr>
      <w:widowControl/>
      <w:tabs>
        <w:tab w:val="clear" w:pos="720"/>
        <w:tab w:val="right" w:pos="3168" w:leader="dot"/>
      </w:tabs>
      <w:bidi w:val="0"/>
      <w:ind w:hanging="216" w:start="216" w:end="0"/>
    </w:pPr>
    <w:rPr>
      <w:rFonts w:ascii="Times New Roman" w:hAnsi="Times New Roman" w:eastAsia="Times New Roman" w:cs="Times New Roman"/>
      <w:color w:val="auto"/>
      <w:sz w:val="18"/>
      <w:szCs w:val="20"/>
      <w:lang w:val="en-CA" w:eastAsia="zh-CN" w:bidi="hi-IN"/>
    </w:rPr>
  </w:style>
  <w:style w:type="paragraph" w:styleId="GROUPNAME">
    <w:name w:val="GROUPNAME"/>
    <w:basedOn w:val="Normal"/>
    <w:qFormat/>
    <w:pPr>
      <w:spacing w:before="0" w:after="240"/>
      <w:jc w:val="end"/>
    </w:pPr>
    <w:rPr>
      <w:color w:val="000000"/>
      <w:sz w:val="48"/>
      <w:lang w:eastAsia="en-US"/>
    </w:rPr>
  </w:style>
  <w:style w:type="paragraph" w:styleId="PAGE">
    <w:name w:val="PAGE#"/>
    <w:qFormat/>
    <w:pPr>
      <w:widowControl/>
      <w:bidi w:val="0"/>
      <w:jc w:val="center"/>
    </w:pPr>
    <w:rPr>
      <w:rFonts w:ascii="Times New Roman" w:hAnsi="Times New Roman" w:eastAsia="Times New Roman" w:cs="Times New Roman"/>
      <w:color w:val="auto"/>
      <w:sz w:val="20"/>
      <w:szCs w:val="20"/>
      <w:lang w:val="en-CA" w:eastAsia="zh-CN" w:bidi="hi-IN"/>
    </w:rPr>
  </w:style>
  <w:style w:type="paragraph" w:styleId="SUBHEADTEXTBOX">
    <w:name w:val="SUBHEAD TEXT BOX"/>
    <w:qFormat/>
    <w:pPr>
      <w:widowControl/>
      <w:bidi w:val="0"/>
      <w:spacing w:before="40" w:after="80"/>
      <w:ind w:hanging="360" w:start="360" w:end="0"/>
    </w:pPr>
    <w:rPr>
      <w:rFonts w:ascii="Arial Black" w:hAnsi="Arial Black" w:eastAsia="Times New Roman" w:cs="Arial Black"/>
      <w:color w:val="auto"/>
      <w:sz w:val="20"/>
      <w:szCs w:val="20"/>
      <w:lang w:val="en-CA" w:eastAsia="zh-CN" w:bidi="hi-IN"/>
    </w:rPr>
  </w:style>
  <w:style w:type="paragraph" w:styleId="SUBHEAD1">
    <w:name w:val="SUBHEAD1"/>
    <w:qFormat/>
    <w:pPr>
      <w:widowControl/>
      <w:bidi w:val="0"/>
      <w:spacing w:before="240" w:after="0"/>
    </w:pPr>
    <w:rPr>
      <w:rFonts w:ascii="Arial Black" w:hAnsi="Arial Black" w:eastAsia="Times New Roman" w:cs="Arial Black"/>
      <w:color w:val="auto"/>
      <w:sz w:val="18"/>
      <w:szCs w:val="20"/>
      <w:lang w:val="en-CA" w:eastAsia="zh-CN" w:bidi="hi-IN"/>
    </w:rPr>
  </w:style>
  <w:style w:type="paragraph" w:styleId="SUBHEAD2">
    <w:name w:val="SUBHEAD2"/>
    <w:basedOn w:val="SUBHEAD1"/>
    <w:qFormat/>
    <w:pPr/>
    <w:rPr>
      <w:i/>
    </w:rPr>
  </w:style>
  <w:style w:type="paragraph" w:styleId="Subtitle">
    <w:name w:val="Subtitle"/>
    <w:basedOn w:val="Normal"/>
    <w:next w:val="BodyText"/>
    <w:qFormat/>
    <w:pPr>
      <w:spacing w:before="0" w:after="60"/>
      <w:jc w:val="center"/>
      <w:outlineLvl w:val="1"/>
    </w:pPr>
    <w:rPr>
      <w:rFonts w:ascii="Arial" w:hAnsi="Arial" w:cs="Arial"/>
      <w:sz w:val="24"/>
    </w:rPr>
  </w:style>
  <w:style w:type="paragraph" w:styleId="TBLCENTER">
    <w:name w:val="TBL CENTER"/>
    <w:qFormat/>
    <w:pPr>
      <w:widowControl/>
      <w:bidi w:val="0"/>
      <w:jc w:val="center"/>
    </w:pPr>
    <w:rPr>
      <w:rFonts w:ascii="Arial" w:hAnsi="Arial" w:eastAsia="Times New Roman" w:cs="Arial"/>
      <w:color w:val="auto"/>
      <w:sz w:val="16"/>
      <w:szCs w:val="20"/>
      <w:lang w:val="en-CA" w:eastAsia="zh-CN" w:bidi="hi-IN"/>
    </w:rPr>
  </w:style>
  <w:style w:type="paragraph" w:styleId="TBLHEADWRULE">
    <w:name w:val="TBL HEAD W/RULE"/>
    <w:qFormat/>
    <w:pPr>
      <w:widowControl/>
      <w:pBdr>
        <w:top w:val="single" w:sz="4" w:space="4" w:color="000000"/>
      </w:pBdr>
      <w:bidi w:val="0"/>
      <w:spacing w:before="40" w:after="0"/>
      <w:jc w:val="both"/>
    </w:pPr>
    <w:rPr>
      <w:rFonts w:ascii="Arial Black" w:hAnsi="Arial Black" w:eastAsia="Times New Roman" w:cs="Arial Black"/>
      <w:color w:val="auto"/>
      <w:sz w:val="20"/>
      <w:szCs w:val="20"/>
      <w:lang w:val="en-CA" w:eastAsia="zh-CN" w:bidi="hi-IN"/>
    </w:rPr>
  </w:style>
  <w:style w:type="paragraph" w:styleId="TBLHEADWORULE">
    <w:name w:val="TBL HEAD W/O RULE"/>
    <w:basedOn w:val="TBLHEADWRULE"/>
    <w:qFormat/>
    <w:pPr>
      <w:pBdr>
        <w:top w:val="nil"/>
      </w:pBdr>
    </w:pPr>
    <w:rPr>
      <w:lang w:eastAsia="en-US"/>
    </w:rPr>
  </w:style>
  <w:style w:type="paragraph" w:styleId="TBLRIGHT">
    <w:name w:val="TBL RIGHT"/>
    <w:qFormat/>
    <w:pPr>
      <w:widowControl/>
      <w:bidi w:val="0"/>
      <w:ind w:hanging="0" w:start="0" w:end="72"/>
      <w:jc w:val="end"/>
    </w:pPr>
    <w:rPr>
      <w:rFonts w:ascii="Arial" w:hAnsi="Arial" w:eastAsia="Times New Roman" w:cs="Arial"/>
      <w:color w:val="auto"/>
      <w:sz w:val="16"/>
      <w:szCs w:val="20"/>
      <w:lang w:val="en-CA" w:eastAsia="zh-CN" w:bidi="hi-IN"/>
    </w:rPr>
  </w:style>
  <w:style w:type="paragraph" w:styleId="TBLRIGHTW">
    <w:name w:val="TBL RIGHT W/)"/>
    <w:qFormat/>
    <w:pPr>
      <w:widowControl/>
      <w:bidi w:val="0"/>
      <w:ind w:hanging="0" w:start="0" w:end="29"/>
      <w:jc w:val="end"/>
    </w:pPr>
    <w:rPr>
      <w:rFonts w:ascii="Arial" w:hAnsi="Arial" w:eastAsia="Times New Roman" w:cs="Arial"/>
      <w:color w:val="auto"/>
      <w:sz w:val="16"/>
      <w:szCs w:val="20"/>
      <w:lang w:val="en-CA" w:eastAsia="zh-CN" w:bidi="hi-IN"/>
    </w:rPr>
  </w:style>
  <w:style w:type="paragraph" w:styleId="TBLRIGHTWUNDERLINE">
    <w:name w:val="TBL RIGHT W/)UNDERLINE"/>
    <w:basedOn w:val="TBLRIGHTW"/>
    <w:qFormat/>
    <w:pPr/>
    <w:rPr>
      <w:u w:val="single"/>
    </w:rPr>
  </w:style>
  <w:style w:type="paragraph" w:styleId="TBLRIGHTWUNDERLINE1">
    <w:name w:val="TBL RIGHT W/UNDERLINE"/>
    <w:basedOn w:val="TBLRIGHT"/>
    <w:qFormat/>
    <w:pPr>
      <w:ind w:hanging="0" w:start="72" w:end="72"/>
    </w:pPr>
    <w:rPr>
      <w:u w:val="single"/>
      <w:lang w:eastAsia="en-US"/>
    </w:rPr>
  </w:style>
  <w:style w:type="paragraph" w:styleId="TBLRULECOLUMNHEAD">
    <w:name w:val="TBL RULE COLUMN HEAD"/>
    <w:qFormat/>
    <w:pPr>
      <w:widowControl/>
      <w:pBdr>
        <w:top w:val="single" w:sz="4" w:space="1" w:color="000000"/>
      </w:pBdr>
      <w:bidi w:val="0"/>
    </w:pPr>
    <w:rPr>
      <w:rFonts w:ascii="Arial" w:hAnsi="Arial" w:eastAsia="Times New Roman" w:cs="Arial"/>
      <w:color w:val="auto"/>
      <w:sz w:val="2"/>
      <w:szCs w:val="20"/>
      <w:lang w:val="en-US" w:eastAsia="zh-CN" w:bidi="hi-IN"/>
    </w:rPr>
  </w:style>
  <w:style w:type="paragraph" w:styleId="TBLRULEWFOOTNOTE">
    <w:name w:val="TBL RULE W/FOOTNOTE"/>
    <w:qFormat/>
    <w:pPr>
      <w:widowControl/>
      <w:pBdr>
        <w:bottom w:val="single" w:sz="4" w:space="4" w:color="000000"/>
      </w:pBdr>
      <w:bidi w:val="0"/>
      <w:spacing w:before="80" w:after="120"/>
    </w:pPr>
    <w:rPr>
      <w:rFonts w:ascii="Arial" w:hAnsi="Arial" w:eastAsia="Times New Roman" w:cs="Arial"/>
      <w:color w:val="auto"/>
      <w:sz w:val="14"/>
      <w:szCs w:val="20"/>
      <w:lang w:eastAsia="en-US" w:val="en-CA" w:bidi="hi-IN"/>
    </w:rPr>
  </w:style>
  <w:style w:type="paragraph" w:styleId="TBLRULEWOFOOTNOTE">
    <w:name w:val="TBL RULE W/O FOOTNOTE"/>
    <w:qFormat/>
    <w:pPr>
      <w:widowControl/>
      <w:pBdr>
        <w:bottom w:val="single" w:sz="4" w:space="1" w:color="000000"/>
      </w:pBdr>
      <w:bidi w:val="0"/>
      <w:spacing w:before="0" w:after="120"/>
    </w:pPr>
    <w:rPr>
      <w:rFonts w:ascii="Times New Roman" w:hAnsi="Times New Roman" w:eastAsia="Times New Roman" w:cs="Times New Roman"/>
      <w:color w:val="auto"/>
      <w:sz w:val="10"/>
      <w:szCs w:val="20"/>
      <w:lang w:val="en-CA" w:eastAsia="zh-CN" w:bidi="hi-IN"/>
    </w:rPr>
  </w:style>
  <w:style w:type="paragraph" w:styleId="TBLSUBHEAD">
    <w:name w:val="TBL SUBHEAD"/>
    <w:qFormat/>
    <w:pPr>
      <w:widowControl/>
      <w:bidi w:val="0"/>
    </w:pPr>
    <w:rPr>
      <w:rFonts w:ascii="Arial Black" w:hAnsi="Arial Black" w:eastAsia="Times New Roman" w:cs="Arial Black"/>
      <w:color w:val="auto"/>
      <w:sz w:val="18"/>
      <w:szCs w:val="20"/>
      <w:lang w:val="en-CA" w:eastAsia="zh-CN" w:bidi="hi-IN"/>
    </w:rPr>
  </w:style>
  <w:style w:type="paragraph" w:styleId="TBLSUBHEAD1">
    <w:name w:val="TBL SUBHEAD1"/>
    <w:qFormat/>
    <w:pPr>
      <w:widowControl/>
      <w:bidi w:val="0"/>
      <w:spacing w:before="120" w:after="0"/>
    </w:pPr>
    <w:rPr>
      <w:rFonts w:ascii="Arial Black" w:hAnsi="Arial Black" w:eastAsia="Times New Roman" w:cs="Arial Black"/>
      <w:color w:val="auto"/>
      <w:sz w:val="18"/>
      <w:szCs w:val="20"/>
      <w:lang w:eastAsia="en-US" w:val="en-CA" w:bidi="hi-IN"/>
    </w:rPr>
  </w:style>
  <w:style w:type="paragraph" w:styleId="COUNTRY">
    <w:name w:val="COUNTRY"/>
    <w:qFormat/>
    <w:pPr>
      <w:widowControl/>
      <w:bidi w:val="0"/>
      <w:spacing w:before="120" w:after="0"/>
    </w:pPr>
    <w:rPr>
      <w:rFonts w:ascii="Arial" w:hAnsi="Arial" w:eastAsia="Times New Roman" w:cs="Arial"/>
      <w:color w:val="auto"/>
      <w:sz w:val="24"/>
      <w:szCs w:val="20"/>
      <w:lang w:val="en-CA" w:eastAsia="zh-CN" w:bidi="hi-IN"/>
    </w:rPr>
  </w:style>
  <w:style w:type="paragraph" w:styleId="BlockText">
    <w:name w:val="Block Text"/>
    <w:basedOn w:val="Normal"/>
    <w:qFormat/>
    <w:pPr>
      <w:spacing w:before="0" w:after="120"/>
      <w:ind w:hanging="0" w:start="1440" w:end="1440"/>
    </w:pPr>
    <w:rPr/>
  </w:style>
  <w:style w:type="paragraph" w:styleId="BodyText21">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210" w:start="0" w:end="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tyle>
  <w:style w:type="paragraph" w:styleId="Date1">
    <w:name w:val="Date1"/>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tyle>
  <w:style w:type="paragraph" w:styleId="EnvelopeAddress">
    <w:name w:val="envelope address"/>
    <w:basedOn w:val="Normal"/>
    <w:pPr>
      <w:ind w:hanging="0" w:start="2880" w:end="0"/>
    </w:pPr>
    <w:rPr>
      <w:rFonts w:ascii="Arial" w:hAnsi="Arial" w:cs="Arial"/>
      <w:sz w:val="24"/>
    </w:rPr>
  </w:style>
  <w:style w:type="paragraph" w:styleId="EnvelopeReturn">
    <w:name w:val="envelope return"/>
    <w:basedOn w:val="Normal"/>
    <w:pPr/>
    <w:rPr>
      <w:rFonts w:ascii="Arial" w:hAnsi="Arial" w:cs="Arial"/>
    </w:rPr>
  </w:style>
  <w:style w:type="paragraph" w:styleId="FootnoteText">
    <w:name w:val="footnote text"/>
    <w:basedOn w:val="Normal"/>
    <w:pPr/>
    <w:rPr/>
  </w:style>
  <w:style w:type="paragraph" w:styleId="Index1">
    <w:name w:val="index 1"/>
    <w:basedOn w:val="Normal"/>
    <w:next w:val="Normal"/>
    <w:pPr>
      <w:ind w:hanging="200" w:start="200" w:end="0"/>
    </w:pPr>
    <w:rPr/>
  </w:style>
  <w:style w:type="paragraph" w:styleId="Index2">
    <w:name w:val="index 2"/>
    <w:basedOn w:val="Normal"/>
    <w:next w:val="Normal"/>
    <w:pPr>
      <w:ind w:hanging="200" w:start="400" w:end="0"/>
    </w:pPr>
    <w:rPr/>
  </w:style>
  <w:style w:type="paragraph" w:styleId="Index3">
    <w:name w:val="index 3"/>
    <w:basedOn w:val="Normal"/>
    <w:next w:val="Normal"/>
    <w:pPr>
      <w:ind w:hanging="200" w:start="600" w:end="0"/>
    </w:pPr>
    <w:rPr/>
  </w:style>
  <w:style w:type="paragraph" w:styleId="Index4">
    <w:name w:val="Index 4"/>
    <w:basedOn w:val="Normal"/>
    <w:next w:val="Normal"/>
    <w:qFormat/>
    <w:pPr>
      <w:ind w:hanging="200" w:start="800" w:end="0"/>
    </w:pPr>
    <w:rPr/>
  </w:style>
  <w:style w:type="paragraph" w:styleId="Index5">
    <w:name w:val="Index 5"/>
    <w:basedOn w:val="Normal"/>
    <w:next w:val="Normal"/>
    <w:qFormat/>
    <w:pPr>
      <w:ind w:hanging="200" w:start="1000"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jc w:val="both"/>
    </w:pPr>
    <w:rPr>
      <w:rFonts w:ascii="Courier New" w:hAnsi="Courier New" w:eastAsia="Times New Roman" w:cs="Courier New"/>
      <w:color w:val="000000"/>
      <w:sz w:val="20"/>
      <w:szCs w:val="20"/>
      <w:lang w:val="en-US" w:eastAsia="en-US"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00" w:start="200" w:end="0"/>
    </w:pPr>
    <w:rPr/>
  </w:style>
  <w:style w:type="paragraph" w:styleId="TableofFigures">
    <w:name w:val="Table of Figures"/>
    <w:basedOn w:val="Normal"/>
    <w:next w:val="Normal"/>
    <w:qFormat/>
    <w:pPr>
      <w:ind w:hanging="400" w:start="400" w:end="0"/>
    </w:pPr>
    <w:rPr/>
  </w:style>
  <w:style w:type="paragraph" w:styleId="TOAHeading">
    <w:name w:val="TOA Heading"/>
    <w:basedOn w:val="Normal"/>
    <w:next w:val="Normal"/>
    <w:qFormat/>
    <w:pPr>
      <w:spacing w:before="120" w:after="240"/>
    </w:pPr>
    <w:rPr>
      <w:rFonts w:ascii="Arial" w:hAnsi="Arial" w:cs="Arial"/>
      <w:b/>
      <w:sz w:val="24"/>
    </w:rPr>
  </w:style>
  <w:style w:type="paragraph" w:styleId="TOC1">
    <w:name w:val="toc 1"/>
    <w:basedOn w:val="Normal"/>
    <w:next w:val="Normal"/>
    <w:pPr/>
    <w:rPr/>
  </w:style>
  <w:style w:type="paragraph" w:styleId="TOC2">
    <w:name w:val="toc 2"/>
    <w:basedOn w:val="Normal"/>
    <w:next w:val="Normal"/>
    <w:pPr>
      <w:ind w:hanging="0" w:start="200" w:end="0"/>
    </w:pPr>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BULLETDECK">
    <w:name w:val="BULLET DECK"/>
    <w:qFormat/>
    <w:pPr>
      <w:widowControl/>
      <w:numPr>
        <w:ilvl w:val="0"/>
        <w:numId w:val="13"/>
      </w:numPr>
      <w:bidi w:val="0"/>
      <w:ind w:hanging="360" w:start="360" w:end="0"/>
    </w:pPr>
    <w:rPr>
      <w:rFonts w:ascii="Times New Roman" w:hAnsi="Times New Roman" w:eastAsia="Times New Roman" w:cs="Times New Roman"/>
      <w:color w:val="auto"/>
      <w:sz w:val="18"/>
      <w:szCs w:val="20"/>
      <w:lang w:val="en-CA"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_rels/header3.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GP-TT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2001-11-14T16:02:00Z</dcterms:created>
  <dc:creator>DCR</dc:creator>
  <dc:description/>
  <dc:language>en-CA</dc:language>
  <cp:lastModifiedBy>rpellecc</cp:lastModifiedBy>
  <cp:lastPrinted>2001-11-16T08:36:00Z</cp:lastPrinted>
  <dcterms:modified xsi:type="dcterms:W3CDTF">2001-11-16T11:08:00Z</dcterms:modified>
  <cp:revision>7</cp:revision>
  <dc:subject/>
  <dc:title>Tax Supported</dc:title>
</cp:coreProperties>
</file>