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DRAFT 9/11/00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__,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memorialize the general agreement of Enron Midwest LLC ("Enron") and Peoples Energy Corporation ("Peoples") concerning the sharing of profits from certain joint initiatives described in Paragraphs 5 (a) and (b) herein (the “Proposed Transactions”). This Letter further evidences the agreement of Enron and Peoples as to responsibility for confidentiality, exclusivity, the Party’s respective share of profits, expenses, and certain other matters relating to the Proposed Transactions, as set forth in this Letter.  </w:t>
      </w:r>
    </w:p>
    <w:p>
      <w:pPr>
        <w:pStyle w:val="Normal"/>
        <w:widowControl/>
        <w:jc w:val="both"/>
        <w:rPr>
          <w:sz w:val="22"/>
        </w:rPr>
      </w:pPr>
      <w:r>
        <w:rPr>
          <w:sz w:val="22"/>
        </w:rPr>
      </w:r>
    </w:p>
    <w:p>
      <w:pPr>
        <w:pStyle w:val="Normal"/>
        <w:jc w:val="both"/>
        <w:rPr/>
      </w:pPr>
      <w:r>
        <w:rPr>
          <w:sz w:val="22"/>
        </w:rPr>
        <w:t>This Agreement is not intended to impose a duty on the part of either party or any of their affiliates to  enter into a particular individual transaction, but rather evidences the parties' binding agreement only as to the matters relating to the overall allocation of profits from the various types of Proposed Transactions.  Any binding contract to enter into a particular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some of the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the Parties (x) shall negotiate exclusively with each other with respect to the Definitive Agreements and all terms and conditions of the and (y) shall not solicit, make or accept any offers or proposals by third parties to undertake or enter into the Proposed Transactions.  </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any documents or proposals developed pursuant to this Letter, and any other information provided by a Party to the other Party relating to the various transactions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Neither Party shall issue a news release nor other public disclosure concerning this Letter or the Proposed Transactions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Transactions, negotiation of the Definitive Agreements, and other matters related to the Proposed Transactions.  Expenses for the goods or services of third party vendors, consultants or advisors shall be shared equally by the Parties on a 50/50 basis, subject to the approval of both Parties prior to the expense being incurred.  </w:t>
      </w:r>
    </w:p>
    <w:p>
      <w:pPr>
        <w:pStyle w:val="Normal"/>
        <w:jc w:val="both"/>
        <w:rPr>
          <w:sz w:val="22"/>
        </w:rPr>
      </w:pPr>
      <w:r>
        <w:rPr>
          <w:sz w:val="22"/>
        </w:rPr>
      </w:r>
    </w:p>
    <w:p>
      <w:pPr>
        <w:pStyle w:val="Normal"/>
        <w:jc w:val="both"/>
        <w:rPr/>
      </w:pPr>
      <w:r>
        <w:rPr>
          <w:sz w:val="22"/>
        </w:rPr>
        <w:tab/>
        <w:t>(b)</w:t>
        <w:tab/>
        <w:t xml:space="preserve">Enron and Peoples shall approve all contracts and engagements of vendors, contractors, consultants and advisors to furnish goods or perform services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pPr>
      <w:r>
        <w:rPr>
          <w:sz w:val="22"/>
        </w:rPr>
        <w:tab/>
      </w:r>
      <w:r>
        <w:rPr>
          <w:b/>
          <w:sz w:val="22"/>
        </w:rPr>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bCs/>
          <w:sz w:val="22"/>
        </w:rPr>
        <w:t>5.</w:t>
        <w:tab/>
      </w:r>
      <w:r>
        <w:rPr>
          <w:b/>
          <w:bCs/>
          <w:sz w:val="22"/>
          <w:u w:val="single"/>
        </w:rPr>
        <w:t>Profit Allocation.</w:t>
      </w:r>
      <w:r>
        <w:rPr>
          <w:sz w:val="22"/>
        </w:rPr>
        <w:tab/>
        <w:t>Notwithstanding anything else to the contract in [the LLC agreement, etc] it is agreed that profit shall be allocated as described below. The Definitive Agreements shall give full force and effect to this agreement.</w:t>
      </w:r>
    </w:p>
    <w:p>
      <w:pPr>
        <w:pStyle w:val="Normal"/>
        <w:widowControl/>
        <w:ind w:end="360"/>
        <w:jc w:val="both"/>
        <w:rPr>
          <w:sz w:val="22"/>
        </w:rPr>
      </w:pPr>
      <w:r>
        <w:rPr>
          <w:sz w:val="22"/>
        </w:rPr>
      </w:r>
    </w:p>
    <w:p>
      <w:pPr>
        <w:pStyle w:val="BodyText"/>
        <w:widowControl/>
        <w:tabs>
          <w:tab w:val="clear" w:pos="0"/>
          <w:tab w:val="clear" w:pos="720"/>
          <w:tab w:val="clear" w:pos="1080"/>
          <w:tab w:val="clear" w:pos="1530"/>
          <w:tab w:val="clear" w:pos="2520"/>
          <w:tab w:val="clear" w:pos="3240"/>
          <w:tab w:val="clear" w:pos="3960"/>
          <w:tab w:val="clear" w:pos="4680"/>
          <w:tab w:val="clear" w:pos="5400"/>
          <w:tab w:val="clear" w:pos="6120"/>
          <w:tab w:val="clear" w:pos="6840"/>
          <w:tab w:val="clear" w:pos="7560"/>
          <w:tab w:val="clear" w:pos="8280"/>
          <w:tab w:val="clear" w:pos="9000"/>
        </w:tabs>
        <w:rPr/>
      </w:pPr>
      <w:r>
        <w:rPr/>
        <w:t xml:space="preserve">(a) Hub Services. Hub Services include (a) transactions subject to Peoples Hub FERC operating statement entered into by MEH or the PGL Hub, and (b) all physical transactions which require the use of the Manlove or Mahomet fields (also known as “exchange” or “enhanced hub” services). </w:t>
      </w:r>
    </w:p>
    <w:p>
      <w:pPr>
        <w:pStyle w:val="Normal"/>
        <w:widowControl/>
        <w:ind w:end="360"/>
        <w:jc w:val="both"/>
        <w:rPr>
          <w:sz w:val="22"/>
        </w:rPr>
      </w:pPr>
      <w:r>
        <w:rPr>
          <w:sz w:val="22"/>
        </w:rPr>
      </w:r>
    </w:p>
    <w:p>
      <w:pPr>
        <w:pStyle w:val="Normal"/>
        <w:widowControl/>
        <w:ind w:end="360"/>
        <w:jc w:val="both"/>
        <w:rPr>
          <w:sz w:val="22"/>
        </w:rPr>
      </w:pPr>
      <w:r>
        <w:rPr>
          <w:sz w:val="22"/>
        </w:rPr>
        <w:t>The profit [a GAAP standard?] from Hub Services shall be split as follows:</w:t>
      </w:r>
    </w:p>
    <w:p>
      <w:pPr>
        <w:pStyle w:val="Normal"/>
        <w:widowControl/>
        <w:ind w:end="360"/>
        <w:jc w:val="both"/>
        <w:rPr>
          <w:sz w:val="22"/>
        </w:rPr>
      </w:pPr>
      <w:r>
        <w:rPr>
          <w:sz w:val="22"/>
        </w:rPr>
      </w:r>
    </w:p>
    <w:p>
      <w:pPr>
        <w:pStyle w:val="Normal"/>
        <w:widowControl/>
        <w:numPr>
          <w:ilvl w:val="0"/>
          <w:numId w:val="2"/>
        </w:numPr>
        <w:ind w:hanging="360" w:start="720" w:end="360"/>
        <w:jc w:val="both"/>
        <w:rPr>
          <w:sz w:val="22"/>
        </w:rPr>
      </w:pPr>
      <w:r>
        <w:rPr>
          <w:sz w:val="22"/>
        </w:rPr>
        <w:t>For transactions entered into between February 15, 2000 through September 30, 2000, the profit shall be equally shared.</w:t>
      </w:r>
    </w:p>
    <w:p>
      <w:pPr>
        <w:pStyle w:val="Normal"/>
        <w:widowControl/>
        <w:ind w:end="360"/>
        <w:jc w:val="both"/>
        <w:rPr>
          <w:sz w:val="22"/>
        </w:rPr>
      </w:pPr>
      <w:r>
        <w:rPr>
          <w:sz w:val="22"/>
        </w:rPr>
      </w:r>
    </w:p>
    <w:p>
      <w:pPr>
        <w:pStyle w:val="Normal"/>
        <w:widowControl/>
        <w:numPr>
          <w:ilvl w:val="0"/>
          <w:numId w:val="2"/>
        </w:numPr>
        <w:ind w:hanging="360" w:start="720" w:end="360"/>
        <w:jc w:val="both"/>
        <w:rPr>
          <w:sz w:val="22"/>
        </w:rPr>
      </w:pPr>
      <w:r>
        <w:rPr>
          <w:sz w:val="22"/>
        </w:rPr>
        <w:t>For transactions entered into from October 1, 2000 to September 30, 2001 (and successive years until September 30, 2004), Peoples will receive the first $4 million in profit (cumulative, not annual), and will Enron receive the next $1million in profit.  For any profit exceeding $5 million, Peoples and Enron will share any on a 50/50 basis.</w:t>
      </w:r>
    </w:p>
    <w:p>
      <w:pPr>
        <w:pStyle w:val="Normal"/>
        <w:widowControl/>
        <w:ind w:end="360"/>
        <w:jc w:val="both"/>
        <w:rPr>
          <w:sz w:val="22"/>
        </w:rPr>
      </w:pPr>
      <w:r>
        <w:rPr>
          <w:sz w:val="22"/>
        </w:rPr>
      </w:r>
    </w:p>
    <w:p>
      <w:pPr>
        <w:pStyle w:val="Normal"/>
        <w:widowControl/>
        <w:ind w:end="360"/>
        <w:jc w:val="both"/>
        <w:rPr>
          <w:sz w:val="22"/>
        </w:rPr>
      </w:pPr>
      <w:r>
        <w:rPr>
          <w:sz w:val="22"/>
        </w:rPr>
        <w:t xml:space="preserve">This arrangement excludes all agency fees paid to MEH.  These fees will be shared 50/50 from the beginning. </w:t>
      </w:r>
    </w:p>
    <w:p>
      <w:pPr>
        <w:pStyle w:val="Normal"/>
        <w:widowControl/>
        <w:ind w:end="360"/>
        <w:jc w:val="both"/>
        <w:rPr>
          <w:sz w:val="22"/>
        </w:rPr>
      </w:pPr>
      <w:r>
        <w:rPr>
          <w:sz w:val="22"/>
        </w:rPr>
      </w:r>
    </w:p>
    <w:p>
      <w:pPr>
        <w:pStyle w:val="Normal"/>
        <w:widowControl/>
        <w:ind w:end="360"/>
        <w:jc w:val="both"/>
        <w:rPr>
          <w:sz w:val="22"/>
        </w:rPr>
      </w:pPr>
      <w:r>
        <w:rPr>
          <w:sz w:val="22"/>
        </w:rPr>
        <w:t>All internal costs incurred in the normal course of business will be borne by the party incurring same. All third party costs will be shared equally, and require MEH board approval.</w:t>
      </w:r>
    </w:p>
    <w:p>
      <w:pPr>
        <w:pStyle w:val="Normal"/>
        <w:widowControl/>
        <w:ind w:end="360"/>
        <w:jc w:val="both"/>
        <w:rPr>
          <w:sz w:val="22"/>
        </w:rPr>
      </w:pPr>
      <w:r>
        <w:rPr>
          <w:sz w:val="22"/>
        </w:rPr>
      </w:r>
    </w:p>
    <w:p>
      <w:pPr>
        <w:pStyle w:val="Heading1"/>
        <w:rPr>
          <w:b w:val="false"/>
          <w:bCs w:val="false"/>
          <w:u w:val="none"/>
        </w:rPr>
      </w:pPr>
      <w:r>
        <w:rPr>
          <w:b w:val="false"/>
          <w:bCs w:val="false"/>
          <w:u w:val="none"/>
        </w:rPr>
        <w:t>(b) Peaking Agreement. Peoples has contracts with PGL and with NICOR contracts relating to the ethane/propane peaking facility. The two existing contracts pay a total of $2million (approximate or exact) in demand charges annually. Any profit exceeding $2 million in a year will be shared by Peoples and Enron on a 50/50 basis.</w:t>
      </w:r>
    </w:p>
    <w:p>
      <w:pPr>
        <w:pStyle w:val="Normal"/>
        <w:widowControl/>
        <w:ind w:end="360"/>
        <w:jc w:val="both"/>
        <w:rPr>
          <w:b/>
          <w:bCs/>
          <w:sz w:val="22"/>
          <w:u w:val="none"/>
        </w:rPr>
      </w:pPr>
      <w:r>
        <w:rPr>
          <w:b/>
          <w:bCs/>
          <w:sz w:val="22"/>
          <w:u w:val="none"/>
        </w:rPr>
      </w:r>
    </w:p>
    <w:p>
      <w:pPr>
        <w:pStyle w:val="Normal"/>
        <w:widowControl/>
        <w:ind w:end="360"/>
        <w:jc w:val="both"/>
        <w:rPr>
          <w:sz w:val="22"/>
        </w:rPr>
      </w:pPr>
      <w:r>
        <w:rPr>
          <w:sz w:val="22"/>
        </w:rPr>
        <w:t>If either of these contracts is extended in any form other than the current form, then Peoples and Enron share the demand charge and the profit on a 50/50 basis.</w:t>
      </w:r>
    </w:p>
    <w:p>
      <w:pPr>
        <w:pStyle w:val="Normal"/>
        <w:widowControl/>
        <w:ind w:end="360"/>
        <w:jc w:val="both"/>
        <w:rPr>
          <w:sz w:val="22"/>
        </w:rPr>
      </w:pPr>
      <w:r>
        <w:rPr>
          <w:sz w:val="22"/>
        </w:rPr>
      </w:r>
    </w:p>
    <w:p>
      <w:pPr>
        <w:pStyle w:val="BodyText"/>
        <w:widowControl/>
        <w:tabs>
          <w:tab w:val="clear" w:pos="0"/>
          <w:tab w:val="clear" w:pos="720"/>
          <w:tab w:val="clear" w:pos="1080"/>
          <w:tab w:val="clear" w:pos="1530"/>
          <w:tab w:val="clear" w:pos="2520"/>
          <w:tab w:val="clear" w:pos="3240"/>
          <w:tab w:val="clear" w:pos="3960"/>
          <w:tab w:val="clear" w:pos="4680"/>
          <w:tab w:val="clear" w:pos="5400"/>
          <w:tab w:val="clear" w:pos="6120"/>
          <w:tab w:val="clear" w:pos="6840"/>
          <w:tab w:val="clear" w:pos="7560"/>
          <w:tab w:val="clear" w:pos="8280"/>
          <w:tab w:val="clear" w:pos="9000"/>
        </w:tabs>
        <w:rPr/>
      </w:pPr>
      <w:r>
        <w:rPr/>
        <w:t xml:space="preserve">(c) Other Transactions. Peoples and Enron will split the profit from any transactions other than those described above on a 50/50 basis. </w:t>
      </w:r>
    </w:p>
    <w:p>
      <w:pPr>
        <w:pStyle w:val="Normal"/>
        <w:widowControl/>
        <w:ind w:firstLine="720" w:end="360"/>
        <w:jc w:val="both"/>
        <w:rPr>
          <w:b/>
          <w:bCs/>
          <w:sz w:val="22"/>
        </w:rPr>
      </w:pPr>
      <w:r>
        <w:rPr>
          <w:b/>
          <w:bCs/>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[x] years, subject to the termination rights described therein. [Do we want a cross termination provision, so that if one part of the deal is terminated, it all gets terminated?]</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Excluded Transactions.</w:t>
      </w:r>
      <w:r>
        <w:rPr>
          <w:sz w:val="22"/>
        </w:rPr>
        <w:t xml:space="preserve"> The gas storage monetization initiative (as generally described in the Parties’ Letter of Intent dated September ___, 2000) is separate, and excluded from the terms of this letter of intent.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Transactions.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15, 2000.  </w:t>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MIDWEST LLC</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transferpriceloi-13b1dec99c6d56fd779456775e91ebeb4c7e9dfd26893d732f3d75e2c0e61d19.doc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0" w:end="360"/>
      <w:jc w:val="both"/>
      <w:outlineLvl w:val="0"/>
    </w:pPr>
    <w:rPr>
      <w:b/>
      <w:bCs/>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2000-09-11T12:14:00Z</dcterms:created>
  <dc:creator>ECT</dc:creator>
  <dc:description/>
  <dc:language>en-CA</dc:language>
  <cp:lastModifiedBy>kmann</cp:lastModifiedBy>
  <cp:lastPrinted>2000-09-12T12:50:00Z</cp:lastPrinted>
  <dcterms:modified xsi:type="dcterms:W3CDTF">2000-09-12T15:27:00Z</dcterms:modified>
  <cp:revision>5</cp:revision>
  <dc:subject/>
  <dc:title>April ___, 1998</dc:title>
</cp:coreProperties>
</file>