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media/image1.emf" ContentType="image/x-emf"/>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szCs w:val="20"/>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994410" cy="987425"/>
                    </a:xfrm>
                    <a:prstGeom prst="rect">
                      <a:avLst/>
                    </a:prstGeom>
                    <a:noFill/>
                  </pic:spPr>
                </pic:pic>
              </a:graphicData>
            </a:graphic>
          </wp:inline>
        </w:drawing>
      </w:r>
      <w:r>
        <w:rPr/>
        <w:tab/>
        <w:tab/>
        <w:tab/>
        <w:tab/>
        <w:tab/>
        <w:tab/>
        <w:tab/>
        <w:tab/>
      </w:r>
    </w:p>
    <w:p>
      <w:pPr>
        <w:pStyle w:val="Heading"/>
        <w:rPr/>
      </w:pPr>
      <w:r>
        <w:rPr/>
      </w:r>
    </w:p>
    <w:p>
      <w:pPr>
        <w:pStyle w:val="Heading"/>
        <w:rPr/>
      </w:pPr>
      <w:r>
        <w:rPr/>
        <w:tab/>
        <w:t>ATTORNEY WORK PRODUCT</w:t>
      </w:r>
    </w:p>
    <w:p>
      <w:pPr>
        <w:pStyle w:val="Heading"/>
        <w:rPr/>
      </w:pPr>
      <w:r>
        <w:rPr/>
        <w:tab/>
        <w:t>PRIVILEGED AND CONFIDENTIAL COMMUNICATION</w:t>
      </w:r>
    </w:p>
    <w:p>
      <w:pPr>
        <w:pStyle w:val="Heading"/>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To:</w:t>
            </w:r>
          </w:p>
        </w:tc>
        <w:tc>
          <w:tcPr>
            <w:tcW w:w="6045" w:type="dxa"/>
            <w:tcBorders>
              <w:top w:val="dashed" w:sz="6" w:space="0" w:color="auto"/>
              <w:start w:val="dashed" w:sz="6" w:space="0" w:color="auto"/>
              <w:bottom w:val="dashed" w:sz="6" w:space="0" w:color="auto"/>
              <w:end w:val="dashed" w:sz="6" w:space="0" w:color="auto"/>
            </w:tcBorders>
          </w:tcPr>
          <w:p>
            <w:pPr>
              <w:pStyle w:val="To"/>
              <w:rPr/>
            </w:pPr>
            <w:r>
              <w:rPr/>
              <w:t>Mark Haedicke, Julia Heintz Murray</w:t>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pPr>
            <w:r>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pPr>
            <w:r>
              <w:rPr/>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300" w:hRule="exact"/>
        </w:trPr>
        <w:tc>
          <w:tcPr>
            <w:tcW w:w="708"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From:</w:t>
            </w:r>
          </w:p>
        </w:tc>
        <w:tc>
          <w:tcPr>
            <w:tcW w:w="6045" w:type="dxa"/>
            <w:tcBorders>
              <w:top w:val="dashed" w:sz="6" w:space="0" w:color="auto"/>
              <w:start w:val="dashed" w:sz="6" w:space="0" w:color="auto"/>
              <w:bottom w:val="dashed" w:sz="6" w:space="0" w:color="auto"/>
              <w:end w:val="dashed" w:sz="6" w:space="0" w:color="auto"/>
            </w:tcBorders>
          </w:tcPr>
          <w:p>
            <w:pPr>
              <w:pStyle w:val="From"/>
              <w:rPr/>
            </w:pPr>
            <w:r>
              <w:rPr/>
              <w:t>Mark Greenberg</w:t>
            </w:r>
          </w:p>
        </w:tc>
        <w:tc>
          <w:tcPr>
            <w:tcW w:w="990" w:type="dxa"/>
            <w:tcBorders>
              <w:top w:val="dashed" w:sz="6" w:space="0" w:color="auto"/>
              <w:start w:val="dashed" w:sz="6" w:space="0" w:color="auto"/>
              <w:bottom w:val="dashed" w:sz="6" w:space="0" w:color="auto"/>
              <w:end w:val="dashed" w:sz="6" w:space="0" w:color="auto"/>
            </w:tcBorders>
          </w:tcPr>
          <w:p>
            <w:pPr>
              <w:pStyle w:val="Normal"/>
              <w:ind w:start="-180" w:end="0"/>
              <w:jc w:val="end"/>
              <w:rPr>
                <w:sz w:val="16"/>
                <w:szCs w:val="16"/>
              </w:rPr>
            </w:pPr>
            <w:r>
              <w:rPr>
                <w:sz w:val="16"/>
                <w:szCs w:val="16"/>
              </w:rPr>
              <w:t>Department:</w:t>
            </w:r>
          </w:p>
        </w:tc>
        <w:tc>
          <w:tcPr>
            <w:tcW w:w="2965" w:type="dxa"/>
            <w:tcBorders>
              <w:top w:val="dashed" w:sz="6" w:space="0" w:color="auto"/>
              <w:start w:val="dashed" w:sz="6" w:space="0" w:color="auto"/>
              <w:bottom w:val="dashed" w:sz="6" w:space="0" w:color="auto"/>
              <w:end w:val="dashed" w:sz="6" w:space="0" w:color="auto"/>
            </w:tcBorders>
          </w:tcPr>
          <w:p>
            <w:pPr>
              <w:pStyle w:val="Department"/>
              <w:rPr/>
            </w:pPr>
            <w:bookmarkStart w:id="0" w:name="From"/>
            <w:bookmarkEnd w:id="0"/>
            <w:r>
              <w:rPr/>
              <w:t>ENA - Legal</w:t>
            </w:r>
          </w:p>
        </w:tc>
      </w:tr>
      <w:tr>
        <w:trPr>
          <w:trHeight w:val="216" w:hRule="exact"/>
        </w:trPr>
        <w:tc>
          <w:tcPr>
            <w:tcW w:w="708" w:type="dxa"/>
            <w:tcBorders>
              <w:top w:val="dashed" w:sz="6" w:space="0" w:color="auto"/>
              <w:start w:val="dashed" w:sz="6" w:space="0" w:color="auto"/>
              <w:bottom w:val="dashed" w:sz="6" w:space="0" w:color="auto"/>
              <w:end w:val="dashed" w:sz="6" w:space="0" w:color="auto"/>
            </w:tcBorders>
          </w:tcPr>
          <w:p>
            <w:pPr>
              <w:pStyle w:val="Normal"/>
              <w:snapToGrid w:val="false"/>
              <w:ind w:start="-180" w:end="0"/>
              <w:jc w:val="end"/>
              <w:rPr>
                <w:sz w:val="18"/>
                <w:szCs w:val="18"/>
              </w:rPr>
            </w:pPr>
            <w:r>
              <w:rPr>
                <w:sz w:val="18"/>
                <w:szCs w:val="18"/>
              </w:rPr>
            </w:r>
          </w:p>
        </w:tc>
        <w:tc>
          <w:tcPr>
            <w:tcW w:w="604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c>
          <w:tcPr>
            <w:tcW w:w="990" w:type="dxa"/>
            <w:tcBorders>
              <w:top w:val="dashed" w:sz="6" w:space="0" w:color="auto"/>
              <w:start w:val="dashed" w:sz="6" w:space="0" w:color="auto"/>
              <w:bottom w:val="dashed" w:sz="6" w:space="0" w:color="auto"/>
              <w:end w:val="dashed" w:sz="6" w:space="0" w:color="auto"/>
            </w:tcBorders>
          </w:tcPr>
          <w:p>
            <w:pPr>
              <w:pStyle w:val="Normal"/>
              <w:snapToGrid w:val="false"/>
              <w:ind w:start="-180" w:end="0"/>
              <w:rPr>
                <w:sz w:val="18"/>
                <w:szCs w:val="18"/>
              </w:rPr>
            </w:pPr>
            <w:r>
              <w:rPr>
                <w:sz w:val="18"/>
                <w:szCs w:val="18"/>
              </w:rPr>
            </w:r>
          </w:p>
        </w:tc>
        <w:tc>
          <w:tcPr>
            <w:tcW w:w="2965" w:type="dxa"/>
            <w:tcBorders>
              <w:top w:val="dashed" w:sz="6" w:space="0" w:color="auto"/>
              <w:start w:val="dashed" w:sz="6" w:space="0" w:color="auto"/>
              <w:bottom w:val="dashed" w:sz="6" w:space="0" w:color="auto"/>
              <w:end w:val="dashed" w:sz="6" w:space="0" w:color="auto"/>
            </w:tcBorders>
          </w:tcPr>
          <w:p>
            <w:pPr>
              <w:pStyle w:val="Normal"/>
              <w:snapToGrid w:val="false"/>
              <w:rPr>
                <w:sz w:val="18"/>
                <w:szCs w:val="18"/>
              </w:rPr>
            </w:pPr>
            <w:r>
              <w:rPr>
                <w:sz w:val="18"/>
                <w:szCs w:val="18"/>
              </w:rPr>
            </w:r>
          </w:p>
        </w:tc>
      </w:tr>
      <w:tr>
        <w:trPr>
          <w:trHeight w:val="600" w:hRule="exact"/>
        </w:trPr>
        <w:tc>
          <w:tcPr>
            <w:tcW w:w="708"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Subject:</w:t>
            </w:r>
          </w:p>
        </w:tc>
        <w:tc>
          <w:tcPr>
            <w:tcW w:w="6045" w:type="dxa"/>
            <w:tcBorders>
              <w:top w:val="dashed" w:sz="6" w:space="0" w:color="auto"/>
              <w:start w:val="dashed" w:sz="6" w:space="0" w:color="auto"/>
              <w:bottom w:val="single" w:sz="12" w:space="0" w:color="000000"/>
              <w:end w:val="dashed" w:sz="6" w:space="0" w:color="auto"/>
            </w:tcBorders>
          </w:tcPr>
          <w:p>
            <w:pPr>
              <w:pStyle w:val="Subject"/>
              <w:rPr/>
            </w:pPr>
            <w:bookmarkStart w:id="1" w:name="tSubject"/>
            <w:bookmarkEnd w:id="1"/>
            <w:r>
              <w:rPr/>
              <w:t>Risk Assessment Memorandum</w:t>
            </w:r>
          </w:p>
          <w:p>
            <w:pPr>
              <w:pStyle w:val="Subject"/>
              <w:rPr/>
            </w:pPr>
            <w:r>
              <w:rPr/>
              <w:t>Stock Purchase of Daishowa Forest Products, Ltd.</w:t>
            </w:r>
          </w:p>
        </w:tc>
        <w:tc>
          <w:tcPr>
            <w:tcW w:w="990" w:type="dxa"/>
            <w:tcBorders>
              <w:top w:val="dashed" w:sz="6" w:space="0" w:color="auto"/>
              <w:start w:val="dashed" w:sz="6" w:space="0" w:color="auto"/>
              <w:bottom w:val="single" w:sz="12" w:space="0" w:color="000000"/>
              <w:end w:val="dashed" w:sz="6" w:space="0" w:color="auto"/>
            </w:tcBorders>
          </w:tcPr>
          <w:p>
            <w:pPr>
              <w:pStyle w:val="Normal"/>
              <w:ind w:start="-180" w:end="0"/>
              <w:jc w:val="end"/>
              <w:rPr>
                <w:sz w:val="16"/>
                <w:szCs w:val="16"/>
              </w:rPr>
            </w:pPr>
            <w:r>
              <w:rPr>
                <w:sz w:val="16"/>
                <w:szCs w:val="16"/>
              </w:rPr>
              <w:t>Date:</w:t>
            </w:r>
          </w:p>
        </w:tc>
        <w:tc>
          <w:tcPr>
            <w:tcW w:w="2965" w:type="dxa"/>
            <w:tcBorders>
              <w:top w:val="dashed" w:sz="6" w:space="0" w:color="auto"/>
              <w:start w:val="dashed" w:sz="6" w:space="0" w:color="auto"/>
              <w:bottom w:val="single" w:sz="12" w:space="0" w:color="000000"/>
              <w:end w:val="dashed" w:sz="6" w:space="0" w:color="auto"/>
            </w:tcBorders>
          </w:tcPr>
          <w:p>
            <w:pPr>
              <w:pStyle w:val="Date"/>
              <w:rPr/>
            </w:pPr>
            <w:r>
              <w:rPr/>
              <w:t>November 7, 2000</w:t>
            </w:r>
          </w:p>
        </w:tc>
      </w:tr>
    </w:tbl>
    <w:p>
      <w:pPr>
        <w:pStyle w:val="CopyList"/>
        <w:tabs>
          <w:tab w:val="clear" w:pos="504"/>
          <w:tab w:val="left" w:pos="-1260" w:leader="none"/>
          <w:tab w:val="left" w:pos="1440" w:leader="none"/>
        </w:tabs>
        <w:spacing w:before="0" w:after="0"/>
        <w:ind w:hanging="0" w:start="0" w:end="0"/>
        <w:jc w:val="both"/>
        <w:rPr/>
      </w:pPr>
      <w:r>
        <w:rPr/>
      </w:r>
      <w:bookmarkStart w:id="2" w:name="StartOfMemo"/>
      <w:bookmarkStart w:id="3" w:name="StartOfMemo"/>
      <w:bookmarkEnd w:id="3"/>
    </w:p>
    <w:p>
      <w:pPr>
        <w:pStyle w:val="Normal"/>
        <w:jc w:val="both"/>
        <w:rPr>
          <w:sz w:val="20"/>
          <w:szCs w:val="20"/>
        </w:rPr>
      </w:pPr>
      <w:r>
        <w:rPr>
          <w:sz w:val="20"/>
          <w:szCs w:val="20"/>
        </w:rPr>
      </w:r>
    </w:p>
    <w:p>
      <w:pPr>
        <w:pStyle w:val="Normal"/>
        <w:jc w:val="both"/>
        <w:rPr>
          <w:b/>
          <w:bCs/>
          <w:sz w:val="20"/>
          <w:szCs w:val="20"/>
          <w:u w:val="single"/>
        </w:rPr>
      </w:pPr>
      <w:r>
        <w:rPr>
          <w:b/>
          <w:bCs/>
          <w:sz w:val="20"/>
          <w:szCs w:val="20"/>
          <w:u w:val="single"/>
        </w:rPr>
        <w:t>General Statement</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This memorandum provides an executive summary of the proposed acquisition (the “Proposed Acquisition”) by Enron Industrial Markets, LLC (or an affiliated entity to be subsequently created) of all of the outstanding capital stock of Daishowa Forest Products, Ltd., a Canadian corporation (“DFPL”).  Because of the complexities associated with certain aspects of the Proposed Acquisition, a complete discussion of the Proposed Acquisition is attached to this memorandum for review and reference.</w:t>
      </w:r>
    </w:p>
    <w:p>
      <w:pPr>
        <w:pStyle w:val="Normal"/>
        <w:jc w:val="both"/>
        <w:rPr>
          <w:sz w:val="20"/>
          <w:szCs w:val="20"/>
        </w:rPr>
      </w:pPr>
      <w:r>
        <w:rPr>
          <w:sz w:val="20"/>
          <w:szCs w:val="20"/>
        </w:rPr>
      </w:r>
    </w:p>
    <w:p>
      <w:pPr>
        <w:pStyle w:val="Normal"/>
        <w:jc w:val="both"/>
        <w:rPr/>
      </w:pPr>
      <w:r>
        <w:rPr>
          <w:sz w:val="20"/>
          <w:szCs w:val="20"/>
        </w:rPr>
        <w:br/>
      </w:r>
      <w:r>
        <w:rPr>
          <w:b/>
          <w:bCs/>
          <w:sz w:val="20"/>
          <w:szCs w:val="20"/>
          <w:u w:val="single"/>
        </w:rPr>
        <w:t>Executive Summary</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 xml:space="preserve">DFPL is a wholly owned subsidiary of Daishowa North America Corporation, a Canadian company (“DNAC”) and the seller in the Proposed Acquisition.  DNAC’s parent company is Daishowa Paper Manufacturing, Co., Ltd, a Japanese corporation (“DPMC”) having a long history in the pulp and paper business.  DPMC entered the North American paper market in the late 1980’s through the acquisition of pulp and paper assets in both the United States and Canada and formed DFPL to own and operate these assets.  The main assets acquired included two (2) mills, both of which have been in operation since the early 1920’s, and various related properties, including interests in a saw mill (located in Leduc, Quebec), wood chip facility (located in Port Angeles, Washington) and timberlands located in the State of Maine.  Each of the mill facilities and other operating properties are operated under one or more subsidiary/affiliated DFPL entities.  </w:t>
      </w:r>
    </w:p>
    <w:p>
      <w:pPr>
        <w:pStyle w:val="Normal"/>
        <w:jc w:val="both"/>
        <w:rPr>
          <w:sz w:val="20"/>
          <w:szCs w:val="20"/>
        </w:rPr>
      </w:pPr>
      <w:r>
        <w:rPr>
          <w:sz w:val="20"/>
          <w:szCs w:val="20"/>
        </w:rPr>
      </w:r>
    </w:p>
    <w:p>
      <w:pPr>
        <w:pStyle w:val="Normal"/>
        <w:jc w:val="both"/>
        <w:rPr>
          <w:sz w:val="20"/>
          <w:szCs w:val="20"/>
        </w:rPr>
      </w:pPr>
      <w:r>
        <w:rPr>
          <w:sz w:val="20"/>
          <w:szCs w:val="20"/>
        </w:rPr>
        <w:tab/>
        <w:t xml:space="preserve">At the current time, DPMC is refocusing its business strategy and seeking to sell a bulk of its North American pulp and paper businesses, including the two (2) mills and various associated properties.  The sale is being pursued as a sale of DFPL’s outstanding stock and has been presented to all interested parties by means of a bidding process.  Enron has participated in the bid process and conducted a preliminary due diligence review of DFPL during the month of September, 2000.  Though limited in its scope by DNAC, the due diligence process revealed significant environmental issues at the mill facility located in Port Angeles, Washington, and its associated facilities.  Also identified were minor environmental issues at the Quebec City mill and its associated facilities; however, these environmental issues were consistent with expectations for aged operating facilities and included minor (but contained) areas of hydrocarbon contaminated soils and manufacturing process emission exceedences.  </w:t>
      </w:r>
    </w:p>
    <w:p>
      <w:pPr>
        <w:pStyle w:val="Normal"/>
        <w:jc w:val="both"/>
        <w:rPr>
          <w:sz w:val="20"/>
          <w:szCs w:val="20"/>
        </w:rPr>
      </w:pPr>
      <w:r>
        <w:rPr>
          <w:sz w:val="20"/>
          <w:szCs w:val="20"/>
        </w:rPr>
      </w:r>
    </w:p>
    <w:p>
      <w:pPr>
        <w:pStyle w:val="Normal"/>
        <w:jc w:val="both"/>
        <w:rPr>
          <w:sz w:val="20"/>
          <w:szCs w:val="20"/>
        </w:rPr>
      </w:pPr>
      <w:r>
        <w:rPr>
          <w:sz w:val="20"/>
          <w:szCs w:val="20"/>
        </w:rPr>
        <w:tab/>
        <w:t xml:space="preserve">In late September, 2000, DFPL submitted a bid instruction letter and draft form of Share Purchase Agreement (“SPA”) to Enron.  The bid instruction letter outlined DFPL’s requirements for a conforming bid and required bid submittal, together with comments to the form SPA, by October 16, 2000.  A review of the SPA revealed environmental representations and warranties somewhat consistent with expectations, but hedged by general terms such as “in material compliance” or “generally compliant” without accompanying definitions of these concepts.  The indemnity provisions established an elaborate methodology for submitting a claim and did not automatically allow for an environmental claim unless certain “triggering events” first occurred.  This scheme was generally driven by the expensive environmental conditions at the Port Angeles, Washington facility (e.g., possible harbor wood waste remediation in excess of US$25MM)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and the fact that DNAC did not want to automatically undertake environmental responsibility for pre-closing contamination, whether identified or not through the due diligence process.</w:t>
      </w:r>
    </w:p>
    <w:p>
      <w:pPr>
        <w:pStyle w:val="Normal"/>
        <w:jc w:val="both"/>
        <w:rPr>
          <w:sz w:val="20"/>
          <w:szCs w:val="20"/>
        </w:rPr>
      </w:pPr>
      <w:r>
        <w:rPr>
          <w:sz w:val="20"/>
          <w:szCs w:val="20"/>
        </w:rPr>
      </w:r>
    </w:p>
    <w:p>
      <w:pPr>
        <w:pStyle w:val="Normal"/>
        <w:jc w:val="both"/>
        <w:rPr>
          <w:sz w:val="20"/>
          <w:szCs w:val="20"/>
        </w:rPr>
      </w:pPr>
      <w:r>
        <w:rPr>
          <w:sz w:val="20"/>
          <w:szCs w:val="20"/>
        </w:rPr>
        <w:tab/>
        <w:t xml:space="preserve">On October 16, 2000, Enron submitted a non-binding, non-confirming bid for the purchase of DFPL at an original offer price of US$330,000,000.00, together with significant modifications to the SPA.  The terms of Enron’s offer were conditioned upon numerous events, including, but not limited to, (1) Enron’s ability to place this acquisition within the equity fund initiative being pursued by Enron Net Works, (2) approval of both Enron’s senior management and its Board of Directors and (3) a requirement that the Company, as of the closing date, only own the mill located in Quebec City, its associated Canadian properties, and the State of Maine timberlands.  Subsequent negotiations between Enron and DNAC have resulted in an increase of the offer price to US$360,000,000.00, but DNAC remains concerned about Enron’s “financing contingency” as related to the Net Works equity fund.  DNAC has indicated it is prepared to move forward with Enron as the successful bidder if Enron will agree to pay a “breakage fee” in the event the Proposed Acquisition does not move forward because it is not accepted into the Net Works fund or, alternatively, no fund materializes.  The value of the “breakage fee” has yet to be determined, but has been suggested by Enron to be in the range of $2MM to $5MM.  DNAC has made an initial suggestion of 3% of the Offer Price or $10MM, but this has not been fully reviewed by Enron.    </w:t>
        <w:br/>
      </w:r>
    </w:p>
    <w:p>
      <w:pPr>
        <w:pStyle w:val="Normal"/>
        <w:jc w:val="both"/>
        <w:rPr>
          <w:sz w:val="20"/>
          <w:szCs w:val="20"/>
        </w:rPr>
      </w:pPr>
      <w:r>
        <w:rPr>
          <w:sz w:val="20"/>
          <w:szCs w:val="20"/>
        </w:rPr>
        <w:tab/>
        <w:t>If Enron is chosen as the successful bidder, there are certain items that have been identified through the due diligence process which impact the Proposed Acquisition.  These items are identified on Attachment “A” to this memorandum; however, there are no issues presenting a significant legal risk to Enron completing the Proposed Acquisition.  The items identified are commercial in nature and have either been adopted by Enron as part of the financial model for the Proposed Acquisition or, alternatively, have been addressed in Enron’s comments to the SPA submitted with the offer on October 16.</w:t>
      </w:r>
    </w:p>
    <w:p>
      <w:pPr>
        <w:pStyle w:val="Normal"/>
        <w:jc w:val="both"/>
        <w:rPr>
          <w:sz w:val="20"/>
          <w:szCs w:val="20"/>
        </w:rPr>
      </w:pPr>
      <w:r>
        <w:rPr>
          <w:sz w:val="20"/>
          <w:szCs w:val="20"/>
        </w:rPr>
      </w:r>
    </w:p>
    <w:p>
      <w:pPr>
        <w:pStyle w:val="Normal"/>
        <w:jc w:val="both"/>
        <w:rPr>
          <w:sz w:val="20"/>
          <w:szCs w:val="20"/>
        </w:rPr>
      </w:pPr>
      <w:r>
        <w:rPr>
          <w:sz w:val="20"/>
          <w:szCs w:val="20"/>
        </w:rPr>
        <w:tab/>
        <w:t xml:space="preserve">If any further information is needed for this matter, please do not hesitate to contact me.    </w:t>
      </w:r>
      <w:r>
        <w:br w:type="page"/>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t>Complete Discussion of Proposed Acquisition</w:t>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t>Purpose</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The purpose of the following discussion is to outline the background of the Proposed Acquisition, to identify certain elements of the Proposed Acquisition which bear upon Enron’s decision to proceed and to identify certain elements of the Proposed Acquisition which pose a legal risk to Enron.  The information set forth below is also intended to support the information provided in the Executive Summary portion of this memorandum.</w:t>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t>Background</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 xml:space="preserve">DPMC was established in 1938 and is engaged in the world-wide manufacture and sale of pulp and paper products such as newsprint, printing paper, wrapping paper and cardboard.  In 1987/1988, DMPC embarked on an expansion of its pulp and paper business into North American and attained a foothold through the formation of DNAC and the purchase of various operating facilities.  At the present time, DPMC has refocused its business strategy and has put the Company up for sale via a bid process.  The assets included in the sale are two (2) pulp and paper mills (one located in Quebec City, Canada and one located in Port Angles, Washington), a sawmill (located in Leduc, Quebec, Canada), a wood chip facility (located in Port Angles, Washington), and timberlands (located in Ste. Aurelie, Maine - bordering Canada and the St. Johns river).  There are also various miscellaneous parcels of land associated with the foregoing parcels; however, these parcels are generally not essential to the core business.  </w:t>
      </w:r>
    </w:p>
    <w:p>
      <w:pPr>
        <w:pStyle w:val="Normal"/>
        <w:jc w:val="both"/>
        <w:rPr>
          <w:sz w:val="20"/>
          <w:szCs w:val="20"/>
        </w:rPr>
      </w:pPr>
      <w:r>
        <w:rPr>
          <w:sz w:val="20"/>
          <w:szCs w:val="20"/>
        </w:rPr>
      </w:r>
    </w:p>
    <w:p>
      <w:pPr>
        <w:pStyle w:val="Normal"/>
        <w:jc w:val="both"/>
        <w:rPr>
          <w:sz w:val="20"/>
          <w:szCs w:val="20"/>
        </w:rPr>
      </w:pPr>
      <w:r>
        <w:rPr>
          <w:sz w:val="20"/>
          <w:szCs w:val="20"/>
        </w:rPr>
        <w:tab/>
        <w:t>The identified facilities are operated by DFPL through the following subsidiary/affiliated corporate entities:</w:t>
      </w:r>
    </w:p>
    <w:p>
      <w:pPr>
        <w:pStyle w:val="Normal"/>
        <w:jc w:val="both"/>
        <w:rPr>
          <w:sz w:val="20"/>
          <w:szCs w:val="20"/>
        </w:rPr>
      </w:pPr>
      <w:r>
        <w:rPr>
          <w:sz w:val="20"/>
          <w:szCs w:val="20"/>
        </w:rPr>
      </w:r>
    </w:p>
    <w:p>
      <w:pPr>
        <w:pStyle w:val="Normal"/>
        <w:jc w:val="both"/>
        <w:rPr>
          <w:sz w:val="20"/>
          <w:szCs w:val="20"/>
        </w:rPr>
      </w:pPr>
      <w:r>
        <w:rPr>
          <w:sz w:val="20"/>
          <w:szCs w:val="20"/>
        </w:rPr>
        <w:tab/>
        <w:t>Daishowa, Inc., a Canadian corporation incorporated under the laws of the Province of Quebec (“DI”)</w:t>
      </w:r>
    </w:p>
    <w:p>
      <w:pPr>
        <w:pStyle w:val="Normal"/>
        <w:jc w:val="both"/>
        <w:rPr>
          <w:sz w:val="20"/>
          <w:szCs w:val="20"/>
        </w:rPr>
      </w:pPr>
      <w:r>
        <w:rPr>
          <w:sz w:val="20"/>
          <w:szCs w:val="20"/>
        </w:rPr>
        <w:tab/>
        <w:t>Daishowa North America Corporation (US), a Delaware corporation (“DNACUS”)</w:t>
      </w:r>
    </w:p>
    <w:p>
      <w:pPr>
        <w:pStyle w:val="Normal"/>
        <w:jc w:val="both"/>
        <w:rPr>
          <w:sz w:val="20"/>
          <w:szCs w:val="20"/>
        </w:rPr>
      </w:pPr>
      <w:r>
        <w:rPr>
          <w:sz w:val="20"/>
          <w:szCs w:val="20"/>
        </w:rPr>
        <w:tab/>
        <w:t>Daishowa Sales Limited, a Canadian corporation incorporated under the laws of the Province of</w:t>
      </w:r>
    </w:p>
    <w:p>
      <w:pPr>
        <w:pStyle w:val="Normal"/>
        <w:jc w:val="both"/>
        <w:rPr>
          <w:sz w:val="20"/>
          <w:szCs w:val="20"/>
        </w:rPr>
      </w:pPr>
      <w:r>
        <w:rPr>
          <w:sz w:val="20"/>
          <w:szCs w:val="20"/>
        </w:rPr>
        <w:tab/>
        <w:tab/>
        <w:t>British Columbia (“DSL”)</w:t>
      </w:r>
    </w:p>
    <w:p>
      <w:pPr>
        <w:pStyle w:val="Normal"/>
        <w:jc w:val="both"/>
        <w:rPr>
          <w:sz w:val="20"/>
          <w:szCs w:val="20"/>
        </w:rPr>
      </w:pPr>
      <w:r>
        <w:rPr>
          <w:sz w:val="20"/>
          <w:szCs w:val="20"/>
        </w:rPr>
        <w:tab/>
        <w:t>Daishowa Sales Limited (US), a Delaware corporation (“DSLUS”)</w:t>
      </w:r>
    </w:p>
    <w:p>
      <w:pPr>
        <w:pStyle w:val="Normal"/>
        <w:jc w:val="both"/>
        <w:rPr>
          <w:sz w:val="20"/>
          <w:szCs w:val="20"/>
        </w:rPr>
      </w:pPr>
      <w:r>
        <w:rPr>
          <w:sz w:val="20"/>
          <w:szCs w:val="20"/>
        </w:rPr>
        <w:tab/>
        <w:t>Daishowa America Co., Ltd., a Washington corporation (“DACO”)</w:t>
      </w:r>
    </w:p>
    <w:p>
      <w:pPr>
        <w:pStyle w:val="Normal"/>
        <w:jc w:val="both"/>
        <w:rPr>
          <w:sz w:val="20"/>
          <w:szCs w:val="20"/>
        </w:rPr>
      </w:pPr>
      <w:r>
        <w:rPr>
          <w:sz w:val="20"/>
          <w:szCs w:val="20"/>
        </w:rPr>
        <w:tab/>
        <w:t>Ste. Aurelie Timberlands, Co., Ltd., a Maine corporation (“SAT”)</w:t>
      </w:r>
    </w:p>
    <w:p>
      <w:pPr>
        <w:pStyle w:val="Normal"/>
        <w:jc w:val="both"/>
        <w:rPr>
          <w:sz w:val="20"/>
          <w:szCs w:val="20"/>
        </w:rPr>
      </w:pPr>
      <w:r>
        <w:rPr>
          <w:sz w:val="20"/>
          <w:szCs w:val="20"/>
        </w:rPr>
      </w:r>
    </w:p>
    <w:p>
      <w:pPr>
        <w:pStyle w:val="Normal"/>
        <w:jc w:val="both"/>
        <w:rPr>
          <w:sz w:val="20"/>
          <w:szCs w:val="20"/>
        </w:rPr>
      </w:pPr>
      <w:r>
        <w:rPr>
          <w:sz w:val="20"/>
          <w:szCs w:val="20"/>
        </w:rPr>
        <w:t>For purposes of this memorandum, unless otherwise stated, all of the foregoing entities will be collectively referred to as the “Company.”</w:t>
      </w:r>
    </w:p>
    <w:p>
      <w:pPr>
        <w:pStyle w:val="Normal"/>
        <w:jc w:val="both"/>
        <w:rPr>
          <w:sz w:val="20"/>
          <w:szCs w:val="20"/>
        </w:rPr>
      </w:pPr>
      <w:r>
        <w:rPr>
          <w:sz w:val="20"/>
          <w:szCs w:val="20"/>
        </w:rPr>
      </w:r>
    </w:p>
    <w:p>
      <w:pPr>
        <w:pStyle w:val="Normal"/>
        <w:jc w:val="both"/>
        <w:rPr>
          <w:sz w:val="20"/>
          <w:szCs w:val="20"/>
        </w:rPr>
      </w:pPr>
      <w:r>
        <w:rPr>
          <w:sz w:val="20"/>
          <w:szCs w:val="20"/>
        </w:rPr>
        <w:tab/>
        <w:t>Enron originally expressed interest in all of the foregoing facilities.  Subsequent to a pre-bid due diligence effort, Enron has focused its attention on acquiring the Quebec mill facility and associated Quebec facilities (including the timberlands located in the State of Maine) (collectively, the “Quebec Facilities”).  The Quebec mill facility dates back to the 1920’s and has been continuously operated as a pulp and paper mill.  The combined workforce for the Company (as a whole) associated with the Quebec Facilities numbers approximately 1,000 to 1,100 people and is composed of both union and non-union workers.  The union workforce is represented by several different unions, each of which currently has a collective bargaining agreement in place with the Company.  Though a few grievances have recently been filed, the relationship between the unions and the Company is very healthy, mostly due to the Company’s commitment to the workforce and higher than average industry salaries.  The Company has also focused significant attention and resources toward upgrading the Quebec Facilities and ensuring compliance with all applicable federal, state/provincial and local laws and regulations.  Efforts in the environmental area have included forward-thinking environmental plans aimed at satisfying new or proposed regulations, clean-up activities for certain existing problems and broad commitments to various governmental authorities for continued compliance.</w:t>
      </w:r>
    </w:p>
    <w:p>
      <w:pPr>
        <w:pStyle w:val="Normal"/>
        <w:jc w:val="both"/>
        <w:rPr>
          <w:sz w:val="20"/>
          <w:szCs w:val="20"/>
        </w:rPr>
      </w:pPr>
      <w:r>
        <w:rPr>
          <w:sz w:val="20"/>
          <w:szCs w:val="20"/>
        </w:rPr>
      </w:r>
    </w:p>
    <w:p>
      <w:pPr>
        <w:pStyle w:val="Normal"/>
        <w:jc w:val="both"/>
        <w:rPr>
          <w:sz w:val="20"/>
          <w:szCs w:val="20"/>
        </w:rPr>
      </w:pPr>
      <w:r>
        <w:rPr>
          <w:sz w:val="20"/>
          <w:szCs w:val="20"/>
        </w:rPr>
        <w:tab/>
      </w:r>
    </w:p>
    <w:p>
      <w:pPr>
        <w:pStyle w:val="Normal"/>
        <w:jc w:val="both"/>
        <w:rPr>
          <w:b/>
          <w:bCs/>
          <w:sz w:val="20"/>
          <w:szCs w:val="20"/>
          <w:u w:val="single"/>
        </w:rPr>
      </w:pPr>
      <w:r>
        <w:rPr>
          <w:b/>
          <w:bCs/>
          <w:sz w:val="20"/>
          <w:szCs w:val="20"/>
          <w:u w:val="single"/>
        </w:rPr>
        <w:t>Sale Process/Enron’s Bid</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 xml:space="preserve">The acquisition of the Company is proposed to be by way of stock purchase.  DNAC (hereinafter referred to as the “Seller”), is pursuing this sale through a bid process.  Having “survived” the first cut of bidders, Enron conducted a formal due diligence review of the Company during the week of September 4, 2000, by attending a due diligence data room established by the Seller for the Company in Toronto, Canada, and conducting site visits (with management overview presentations) the preceding week.  Information contained in the data room was somewhat limited in scope and generally restricted from copying.  Subsequent to completing the formal due diligence review, informal reviews have continued and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 xml:space="preserve">Enron has been somewhat successful in obtaining needed additional documentation from the Seller.  The formal bid letter and draft of the proposed Share Purchase Agreement (“SPA”) were delivered to Enron on September 26, 2000 and are outlined below.  Formal bids, together with comments to the proposed SPA, were due to be delivered to the Seller no later than noon (EST) on Monday, October 16, 2000. </w:t>
      </w:r>
    </w:p>
    <w:p>
      <w:pPr>
        <w:pStyle w:val="Normal"/>
        <w:jc w:val="both"/>
        <w:rPr>
          <w:sz w:val="20"/>
          <w:szCs w:val="20"/>
        </w:rPr>
      </w:pPr>
      <w:r>
        <w:rPr>
          <w:sz w:val="20"/>
          <w:szCs w:val="20"/>
        </w:rPr>
      </w:r>
    </w:p>
    <w:p>
      <w:pPr>
        <w:pStyle w:val="Normal"/>
        <w:jc w:val="both"/>
        <w:rPr>
          <w:sz w:val="20"/>
          <w:szCs w:val="20"/>
        </w:rPr>
      </w:pPr>
      <w:r>
        <w:rPr>
          <w:sz w:val="20"/>
          <w:szCs w:val="20"/>
        </w:rPr>
        <w:tab/>
        <w:t>Enron has provided a non-confirming, non-binding bid consisting of various modifications to the transaction proposed by the Seller.  The main modification is a restructuring of the transaction to accommodate the acquisition of only the Quebec Facilities.  The bid price currently stands at US$360,000,000.00 (up from the original bid price of US$330,000,000.00), with completion of the transaction being subject to a number of conditions, including the completion of financing through the Net Work Partners initiative and approval of appropriate Enron management (including Enron’s Board of Directors).</w:t>
      </w:r>
    </w:p>
    <w:p>
      <w:pPr>
        <w:pStyle w:val="Normal"/>
        <w:jc w:val="both"/>
        <w:rPr>
          <w:sz w:val="20"/>
          <w:szCs w:val="20"/>
        </w:rPr>
      </w:pPr>
      <w:r>
        <w:rPr>
          <w:sz w:val="20"/>
          <w:szCs w:val="20"/>
        </w:rPr>
        <w:t xml:space="preserve"> </w:t>
      </w:r>
    </w:p>
    <w:p>
      <w:pPr>
        <w:pStyle w:val="Normal"/>
        <w:jc w:val="both"/>
        <w:rPr>
          <w:sz w:val="20"/>
          <w:szCs w:val="20"/>
        </w:rPr>
      </w:pPr>
      <w:r>
        <w:rPr>
          <w:sz w:val="20"/>
          <w:szCs w:val="20"/>
        </w:rPr>
        <w:t xml:space="preserve">  </w:t>
      </w:r>
    </w:p>
    <w:p>
      <w:pPr>
        <w:pStyle w:val="Normal"/>
        <w:jc w:val="both"/>
        <w:rPr>
          <w:b/>
          <w:bCs/>
          <w:sz w:val="20"/>
          <w:szCs w:val="20"/>
          <w:u w:val="single"/>
        </w:rPr>
      </w:pPr>
      <w:r>
        <w:rPr>
          <w:b/>
          <w:bCs/>
          <w:sz w:val="20"/>
          <w:szCs w:val="20"/>
          <w:u w:val="single"/>
        </w:rPr>
        <w:t>Outline of Form SPA.</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The following is a summary of certain significant provisions of the SPA proposed by the Seller.  Where applicable, changes contemplated by Enron’s mark-up are indicated and have initially been made based upon Enron’s decision to bid only on the Quebec Facilities.</w:t>
      </w:r>
    </w:p>
    <w:p>
      <w:pPr>
        <w:pStyle w:val="Normal"/>
        <w:jc w:val="both"/>
        <w:rPr>
          <w:sz w:val="20"/>
          <w:szCs w:val="20"/>
        </w:rPr>
      </w:pPr>
      <w:r>
        <w:rPr>
          <w:sz w:val="20"/>
          <w:szCs w:val="20"/>
        </w:rPr>
      </w:r>
    </w:p>
    <w:p>
      <w:pPr>
        <w:pStyle w:val="Normal"/>
        <w:jc w:val="both"/>
        <w:rPr>
          <w:sz w:val="20"/>
          <w:szCs w:val="20"/>
          <w:u w:val="single"/>
        </w:rPr>
      </w:pPr>
      <w:r>
        <w:rPr>
          <w:sz w:val="20"/>
          <w:szCs w:val="20"/>
          <w:u w:val="single"/>
        </w:rPr>
      </w:r>
    </w:p>
    <w:p>
      <w:pPr>
        <w:pStyle w:val="Normal"/>
        <w:jc w:val="both"/>
        <w:rPr/>
      </w:pPr>
      <w:r>
        <w:rPr>
          <w:sz w:val="20"/>
          <w:szCs w:val="20"/>
        </w:rPr>
        <w:tab/>
      </w:r>
      <w:r>
        <w:rPr>
          <w:sz w:val="20"/>
          <w:szCs w:val="20"/>
          <w:u w:val="single"/>
        </w:rPr>
        <w:t>Representations and Warranties</w:t>
      </w:r>
      <w:r>
        <w:rPr>
          <w:sz w:val="20"/>
          <w:szCs w:val="20"/>
        </w:rPr>
        <w:t>:  The representations and warranties of the Seller are generally based upon disclosures of information made to Enron prior to the date the SPA becomes effective (e.g., during data room visits and other pre-bid due diligence efforts).  Limitations or qualifications to the representations and warranties are in the form of statements containing terms such as “in material compliance”, “material adverse impact” and “generally compliant”; however, none of these terms are defined within the document.  The information contained in many of the Schedules is in excess of that disclosed to Enron in the data room and during due diligence reviews.  Accordingly, references within the SPA to releases of the scheduled information to Enron prior to the effective date of the SPA are incorrect.  Modifications have been proposed for (a) defining terms such as “material” and “material adverse impact” so that they are not left open to subjective interpretation or deleting such terms completely, and (b) capturing the status of due diligence in one, all encompassing, provision that will accurately portray the status of due diligence, disclosure of information by the Seller to date and Enron’s requirements for further due diligence not intended to be limited only to the confirmation of prior disclosures.</w:t>
      </w:r>
    </w:p>
    <w:p>
      <w:pPr>
        <w:pStyle w:val="Normal"/>
        <w:jc w:val="both"/>
        <w:rPr>
          <w:sz w:val="20"/>
          <w:szCs w:val="20"/>
        </w:rPr>
      </w:pPr>
      <w:r>
        <w:rPr>
          <w:sz w:val="20"/>
          <w:szCs w:val="20"/>
        </w:rPr>
      </w:r>
    </w:p>
    <w:p>
      <w:pPr>
        <w:pStyle w:val="Normal"/>
        <w:jc w:val="both"/>
        <w:rPr>
          <w:sz w:val="20"/>
          <w:szCs w:val="20"/>
        </w:rPr>
      </w:pPr>
      <w:r>
        <w:rPr>
          <w:sz w:val="20"/>
          <w:szCs w:val="20"/>
        </w:rPr>
        <w:tab/>
        <w:t>The representations and warranties of Enron contain standard provisions and do not express any concepts or contain any requirements beyond those expected.</w:t>
      </w:r>
    </w:p>
    <w:p>
      <w:pPr>
        <w:pStyle w:val="Normal"/>
        <w:jc w:val="both"/>
        <w:rPr>
          <w:sz w:val="20"/>
          <w:szCs w:val="20"/>
        </w:rPr>
      </w:pPr>
      <w:r>
        <w:rPr>
          <w:sz w:val="20"/>
          <w:szCs w:val="20"/>
        </w:rPr>
      </w:r>
    </w:p>
    <w:p>
      <w:pPr>
        <w:pStyle w:val="Normal"/>
        <w:jc w:val="both"/>
        <w:rPr>
          <w:b/>
          <w:bCs/>
          <w:sz w:val="20"/>
          <w:szCs w:val="20"/>
        </w:rPr>
      </w:pPr>
      <w:r>
        <w:rPr>
          <w:b/>
          <w:bCs/>
          <w:sz w:val="20"/>
          <w:szCs w:val="20"/>
        </w:rPr>
      </w:r>
    </w:p>
    <w:p>
      <w:pPr>
        <w:pStyle w:val="Normal"/>
        <w:jc w:val="both"/>
        <w:rPr/>
      </w:pPr>
      <w:r>
        <w:rPr>
          <w:b/>
          <w:bCs/>
          <w:sz w:val="20"/>
          <w:szCs w:val="20"/>
        </w:rPr>
        <w:tab/>
      </w:r>
      <w:r>
        <w:rPr>
          <w:sz w:val="20"/>
          <w:szCs w:val="20"/>
          <w:u w:val="single"/>
        </w:rPr>
        <w:t>Indemnification Provisions From the Seller (Including Environmental):</w:t>
      </w:r>
      <w:r>
        <w:rPr>
          <w:sz w:val="20"/>
          <w:szCs w:val="20"/>
        </w:rPr>
        <w:t xml:space="preserve">  The SPA’s terms in relation to indemnification of Enron from claims which are the responsibility of the Seller are captured in one specific Article, but are qualified by provisions contained in an earlier Article relating to the survival of the representations and warranties/limitations on the ability of Enron to bring certain claims.  The earlier provisions limit Enron’s ability to assert a right of indemnification until an actual loss has been suffered and, to the extent possible, that loss has been mitigated.  Mitigating factors are listed to include, but are not limited to, (1) the payment of insurance proceeds or (2) deductions for the value of a counterclaim or contribution claim by Enron against a third party.  Further, the specific provisions of the earlier Article limit the timing of certain claims by requiring action within periods of time shorter than anticipated statutory periods.  As to the specific indemnity provisions, a distinction is made between basic “Claims” and those specifically related to environmental conditions.  As to the former, the scope of the indemnity provides for the Seller to undertake its indemnity obligation upon notice from Enron.  If undertaken, the Seller will, at its costs, assume the defense of the claim and be entitled to settle any such claim, subject to the agreement of Enron.  If the claim is not undertaken by the Seller (e.g., the Seller fails to agree to indemnify Enron), Enron is left to pursue the defense of the claim and seek indemnity from the Seller at a later time.</w:t>
      </w:r>
    </w:p>
    <w:p>
      <w:pPr>
        <w:pStyle w:val="Normal"/>
        <w:jc w:val="both"/>
        <w:rPr>
          <w:sz w:val="20"/>
          <w:szCs w:val="20"/>
        </w:rPr>
      </w:pPr>
      <w:r>
        <w:rPr>
          <w:sz w:val="20"/>
          <w:szCs w:val="20"/>
        </w:rPr>
      </w:r>
    </w:p>
    <w:p>
      <w:pPr>
        <w:pStyle w:val="Normal"/>
        <w:jc w:val="both"/>
        <w:rPr>
          <w:sz w:val="20"/>
          <w:szCs w:val="20"/>
        </w:rPr>
      </w:pPr>
      <w:r>
        <w:rPr>
          <w:sz w:val="20"/>
          <w:szCs w:val="20"/>
        </w:rPr>
        <w:tab/>
        <w:t xml:space="preserve">As to environmental claims, the indemnity obligation of the Seller is limited in nature and does not automatically contemplate that the Seller is liable for known and unknown conditions existing prior to the closing date.  Not only is the indemnity obligation in this area once again couched in terms of requiring Enron to have suffered a loss before making the claim, but further requirements contemplate a “triggering event” taking place.  These “triggering events” are listed as (a) a governmental authority has initiated proceedings concerning an environmental condition impacting Enron, (b) the existence of an immediate and substantial risk to human health or the environment causing a substantial likelihood that a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governmental authority would require remedial action or (c) consent by the Seller to the indemnity claim.  In the absence of a “triggering event,” Enron may be foreclosed from bringing a claim, especially if Enron has undertaken investigative remedial measures in the absence of making a claim or disclosed environmental information to a governmental authority, thereby prompting government action.  Both of the foregoing actions are specifically listed as a means by which the Seller could avoid liability for environmental claims by Enron.</w:t>
      </w:r>
    </w:p>
    <w:p>
      <w:pPr>
        <w:pStyle w:val="Normal"/>
        <w:jc w:val="both"/>
        <w:rPr>
          <w:sz w:val="20"/>
          <w:szCs w:val="20"/>
        </w:rPr>
      </w:pPr>
      <w:r>
        <w:rPr>
          <w:sz w:val="20"/>
          <w:szCs w:val="20"/>
        </w:rPr>
      </w:r>
    </w:p>
    <w:p>
      <w:pPr>
        <w:pStyle w:val="Normal"/>
        <w:jc w:val="both"/>
        <w:rPr>
          <w:sz w:val="20"/>
          <w:szCs w:val="20"/>
        </w:rPr>
      </w:pPr>
      <w:r>
        <w:rPr>
          <w:sz w:val="20"/>
          <w:szCs w:val="20"/>
        </w:rPr>
        <w:tab/>
        <w:t xml:space="preserve"> Modifications in this area were focused on the Seller assuming liability for all existing contamination at all Quebec Facilities and refocusing the indemnity obligations accordingly.  If this position is met with strong resistance, an acceptable fall-back position for Enron would be to focus on extending time frames for claims, changing the methodology for bringing claims (e.g., based upon allegations of liability and not measured losses, especially where the claim is for existing environmental matters) and dispensing with the restrictive “triggering events.”  Further, areas restricting Enron’s ability, right or obligation to conduct investigations and to report findings to governmental authorities have been deleted to ensure Enron avoids any legal consequences which may occur for failure to comply with environmental regulations.  </w:t>
      </w:r>
    </w:p>
    <w:p>
      <w:pPr>
        <w:pStyle w:val="Normal"/>
        <w:jc w:val="both"/>
        <w:rPr>
          <w:sz w:val="20"/>
          <w:szCs w:val="20"/>
        </w:rPr>
      </w:pPr>
      <w:r>
        <w:rPr>
          <w:sz w:val="20"/>
          <w:szCs w:val="20"/>
        </w:rPr>
      </w:r>
    </w:p>
    <w:p>
      <w:pPr>
        <w:pStyle w:val="Normal"/>
        <w:jc w:val="both"/>
        <w:rPr/>
      </w:pPr>
      <w:r>
        <w:rPr>
          <w:sz w:val="20"/>
          <w:szCs w:val="20"/>
        </w:rPr>
        <w:tab/>
      </w:r>
      <w:r>
        <w:rPr>
          <w:sz w:val="20"/>
          <w:szCs w:val="20"/>
          <w:u w:val="single"/>
        </w:rPr>
        <w:t>Indemnification Provisions from Enron:</w:t>
      </w:r>
      <w:r>
        <w:rPr>
          <w:sz w:val="20"/>
          <w:szCs w:val="20"/>
        </w:rPr>
        <w:t xml:space="preserve">  Interestingly enough, the provisions of the SPA do not specifically provide for indemnification of the Seller by Enron.  There are provisions that are drawn to encompass mutual indemnity obligations and indemnification from breaches of Enron covenants, representations and warranties; however, these same provisions merely indicate that simple notice of the claim is required.  The notice is to include information about the factual basis of the claim, as well as the amount thereof (or reasonable estimate in the absence of an actual amount claimed).  It is not clear what occurs once the notice is given, especially if the notice is given by the Seller to Enron.  This has been clarified in modifications to the applicable sections.</w:t>
      </w:r>
    </w:p>
    <w:p>
      <w:pPr>
        <w:pStyle w:val="Normal"/>
        <w:jc w:val="both"/>
        <w:rPr>
          <w:sz w:val="20"/>
          <w:szCs w:val="20"/>
        </w:rPr>
      </w:pPr>
      <w:r>
        <w:rPr>
          <w:sz w:val="20"/>
          <w:szCs w:val="20"/>
        </w:rPr>
      </w:r>
    </w:p>
    <w:p>
      <w:pPr>
        <w:pStyle w:val="Normal"/>
        <w:jc w:val="both"/>
        <w:rPr/>
      </w:pPr>
      <w:r>
        <w:rPr>
          <w:sz w:val="20"/>
          <w:szCs w:val="20"/>
        </w:rPr>
        <w:tab/>
      </w:r>
      <w:r>
        <w:rPr>
          <w:sz w:val="20"/>
          <w:szCs w:val="20"/>
          <w:u w:val="single"/>
        </w:rPr>
        <w:t>Environmental Matters:</w:t>
      </w:r>
      <w:r>
        <w:rPr>
          <w:sz w:val="20"/>
          <w:szCs w:val="20"/>
        </w:rPr>
        <w:t xml:space="preserve">  There are a number of environmental matters that have been identified at each of the Quebec Facilities and which are generally reflected in the schedules to the SPA in relation to the representations and warranties.    As noted above, qualification statements exist throughout the representations and warranties without definition and these same statements are also included in many of the environmental representations and warranties.  Further, though having owned the Quebec Facilities since the late 1980’s, the Seller is seeking to have its representations and warranties effective from August 31, 1995 to the present date.  The basis for using the foregoing date has not yet been determined and will be the subject of negotiation as Enron will be seeking to have the representations and warranties effective from the date Seller acquired ownership of the assets.</w:t>
      </w:r>
    </w:p>
    <w:p>
      <w:pPr>
        <w:pStyle w:val="Normal"/>
        <w:jc w:val="both"/>
        <w:rPr>
          <w:sz w:val="20"/>
          <w:szCs w:val="20"/>
        </w:rPr>
      </w:pPr>
      <w:r>
        <w:rPr>
          <w:sz w:val="20"/>
          <w:szCs w:val="20"/>
        </w:rPr>
      </w:r>
    </w:p>
    <w:p>
      <w:pPr>
        <w:pStyle w:val="Normal"/>
        <w:jc w:val="both"/>
        <w:rPr>
          <w:sz w:val="20"/>
          <w:szCs w:val="20"/>
        </w:rPr>
      </w:pPr>
      <w:r>
        <w:rPr>
          <w:sz w:val="20"/>
          <w:szCs w:val="20"/>
        </w:rPr>
        <w:tab/>
        <w:t>Finally, there are a number of items in the SPA and its schedules that were not identified by Enron through the due diligence process.  This is a direct result of the limited scope and nature of the information released to Enron and not the function of an incomplete review effort.  These “new” items have been identified and are also stated as qualifications to the bid based upon the need for further due diligence review.</w:t>
      </w:r>
    </w:p>
    <w:p>
      <w:pPr>
        <w:pStyle w:val="Normal"/>
        <w:jc w:val="both"/>
        <w:rPr>
          <w:sz w:val="20"/>
          <w:szCs w:val="20"/>
        </w:rPr>
      </w:pPr>
      <w:r>
        <w:rPr>
          <w:sz w:val="20"/>
          <w:szCs w:val="20"/>
        </w:rPr>
      </w:r>
    </w:p>
    <w:p>
      <w:pPr>
        <w:pStyle w:val="Normal"/>
        <w:jc w:val="both"/>
        <w:rPr/>
      </w:pPr>
      <w:r>
        <w:rPr>
          <w:sz w:val="20"/>
          <w:szCs w:val="20"/>
        </w:rPr>
        <w:tab/>
      </w:r>
      <w:r>
        <w:rPr>
          <w:sz w:val="20"/>
          <w:szCs w:val="20"/>
          <w:u w:val="single"/>
        </w:rPr>
        <w:t>Government Filing Matters (e.g., HSR, Canadian Competition Act):</w:t>
      </w:r>
      <w:r>
        <w:rPr>
          <w:sz w:val="20"/>
          <w:szCs w:val="20"/>
        </w:rPr>
        <w:t xml:space="preserve">  Provisions for governmental consents are contained in a general provision entitled “Conditions to the Obligations of [Enron]”.  It is acknowledged by the Seller that Enron will have obtained all necessary governmental consents (or applicable periods of challenge will have elapsed) in order to complete the transaction.  This has also been listed as a condition to the Proposed Acquisition in Enron’s bid response letter of October 16.    </w:t>
      </w:r>
    </w:p>
    <w:p>
      <w:pPr>
        <w:pStyle w:val="Normal"/>
        <w:jc w:val="both"/>
        <w:rPr>
          <w:b/>
          <w:bCs/>
          <w:sz w:val="20"/>
          <w:szCs w:val="20"/>
          <w:u w:val="single"/>
        </w:rPr>
      </w:pPr>
      <w:r>
        <w:rPr>
          <w:b/>
          <w:bCs/>
          <w:sz w:val="20"/>
          <w:szCs w:val="20"/>
          <w:u w:val="single"/>
        </w:rPr>
      </w:r>
    </w:p>
    <w:p>
      <w:pPr>
        <w:pStyle w:val="Normal"/>
        <w:jc w:val="both"/>
        <w:rPr>
          <w:b/>
          <w:bCs/>
          <w:sz w:val="20"/>
          <w:szCs w:val="20"/>
          <w:u w:val="single"/>
        </w:rPr>
      </w:pPr>
      <w:r>
        <w:rPr>
          <w:b/>
          <w:bCs/>
          <w:sz w:val="20"/>
          <w:szCs w:val="20"/>
          <w:u w:val="single"/>
        </w:rPr>
      </w:r>
    </w:p>
    <w:p>
      <w:pPr>
        <w:pStyle w:val="Normal"/>
        <w:jc w:val="both"/>
        <w:rPr>
          <w:sz w:val="20"/>
          <w:szCs w:val="20"/>
        </w:rPr>
      </w:pPr>
      <w:r>
        <w:rPr>
          <w:b/>
          <w:bCs/>
          <w:sz w:val="20"/>
          <w:szCs w:val="20"/>
          <w:u w:val="single"/>
        </w:rPr>
        <w:t>Outline of Identified Risks.</w:t>
      </w:r>
    </w:p>
    <w:p>
      <w:pPr>
        <w:pStyle w:val="Normal"/>
        <w:jc w:val="both"/>
        <w:rPr>
          <w:sz w:val="20"/>
          <w:szCs w:val="20"/>
        </w:rPr>
      </w:pPr>
      <w:r>
        <w:rPr>
          <w:sz w:val="20"/>
          <w:szCs w:val="20"/>
        </w:rPr>
      </w:r>
    </w:p>
    <w:p>
      <w:pPr>
        <w:pStyle w:val="Normal"/>
        <w:jc w:val="both"/>
        <w:rPr>
          <w:sz w:val="20"/>
          <w:szCs w:val="20"/>
        </w:rPr>
      </w:pPr>
      <w:r>
        <w:rPr>
          <w:sz w:val="20"/>
          <w:szCs w:val="20"/>
        </w:rPr>
        <w:tab/>
        <w:t>Attachment “A” outlines the material risks identified to date in association with the Proposed Acquisition.  The narrative of the issues was gathered from the due diligence process, work with outside counsel in each of the jurisdictions where the assets are located (save and except for the State of Maine) and information gathered by the outside engineering/environmental consultant retained for the Proposed Acquisition.  Where indicated, further review of the risks will need to be undertaken, either based upon information not made available to Enron during the due diligence period, information identified in the SPA but not previously provided to Enron, or based upon further due diligence efforts to be undertaken after bid acceptance (presuming Enron is the successful bidder).</w:t>
      </w:r>
    </w:p>
    <w:p>
      <w:pPr>
        <w:pStyle w:val="Normal"/>
        <w:jc w:val="both"/>
        <w:rPr>
          <w:sz w:val="20"/>
          <w:szCs w:val="20"/>
        </w:rPr>
      </w:pPr>
      <w:r>
        <w:rPr>
          <w:sz w:val="20"/>
          <w:szCs w:val="20"/>
        </w:rPr>
      </w:r>
    </w:p>
    <w:p>
      <w:pPr>
        <w:pStyle w:val="Normal"/>
        <w:jc w:val="both"/>
        <w:rPr>
          <w:b/>
          <w:bCs/>
          <w:sz w:val="20"/>
          <w:szCs w:val="20"/>
          <w:u w:val="single"/>
        </w:rPr>
      </w:pPr>
      <w:r>
        <w:rPr>
          <w:b/>
          <w:bCs/>
          <w:sz w:val="20"/>
          <w:szCs w:val="20"/>
          <w:u w:val="single"/>
        </w:rPr>
        <w:t>Current Status.</w:t>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tab/>
        <w:t>As required in the bid instruction letter of September 26, 2000, Enron submitted a non-conforming, non-binding response letter to the Seller indicating the price which would be paid for the shares of the Seller, presuming the Seller only owned the Quebec Facilities at the time of closing.  The Seller has indicated concern with the following contingencies</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identified in the response letter:</w:t>
      </w:r>
    </w:p>
    <w:p>
      <w:pPr>
        <w:pStyle w:val="Normal"/>
        <w:jc w:val="both"/>
        <w:rPr>
          <w:sz w:val="20"/>
          <w:szCs w:val="20"/>
        </w:rPr>
      </w:pPr>
      <w:r>
        <w:rPr>
          <w:sz w:val="20"/>
          <w:szCs w:val="20"/>
        </w:rPr>
      </w:r>
    </w:p>
    <w:p>
      <w:pPr>
        <w:pStyle w:val="Normal"/>
        <w:ind w:hanging="720" w:start="720" w:end="432"/>
        <w:jc w:val="both"/>
        <w:rPr>
          <w:sz w:val="20"/>
          <w:szCs w:val="20"/>
        </w:rPr>
      </w:pPr>
      <w:r>
        <w:rPr>
          <w:sz w:val="20"/>
          <w:szCs w:val="20"/>
        </w:rPr>
        <w:tab/>
        <w:t>a.  Senior management approval, as well as board approval, being needed.</w:t>
      </w:r>
    </w:p>
    <w:p>
      <w:pPr>
        <w:pStyle w:val="Normal"/>
        <w:ind w:hanging="720" w:start="720" w:end="432"/>
        <w:jc w:val="both"/>
        <w:rPr>
          <w:sz w:val="20"/>
          <w:szCs w:val="20"/>
        </w:rPr>
      </w:pPr>
      <w:r>
        <w:rPr>
          <w:sz w:val="20"/>
          <w:szCs w:val="20"/>
        </w:rPr>
      </w:r>
    </w:p>
    <w:p>
      <w:pPr>
        <w:pStyle w:val="Normal"/>
        <w:ind w:hanging="720" w:start="720" w:end="432"/>
        <w:jc w:val="both"/>
        <w:rPr>
          <w:sz w:val="20"/>
          <w:szCs w:val="20"/>
        </w:rPr>
      </w:pPr>
      <w:r>
        <w:rPr>
          <w:sz w:val="20"/>
          <w:szCs w:val="20"/>
        </w:rPr>
        <w:tab/>
        <w:t>b.  The placement of a private funding mechanism for the acquisition of this company (e.g., the Net Works Partnership).</w:t>
      </w:r>
    </w:p>
    <w:p>
      <w:pPr>
        <w:pStyle w:val="Normal"/>
        <w:ind w:hanging="720" w:start="720" w:end="432"/>
        <w:jc w:val="both"/>
        <w:rPr>
          <w:sz w:val="20"/>
          <w:szCs w:val="20"/>
        </w:rPr>
      </w:pPr>
      <w:r>
        <w:rPr>
          <w:sz w:val="20"/>
          <w:szCs w:val="20"/>
        </w:rPr>
      </w:r>
    </w:p>
    <w:p>
      <w:pPr>
        <w:pStyle w:val="Normal"/>
        <w:ind w:hanging="720" w:start="720" w:end="432"/>
        <w:jc w:val="both"/>
        <w:rPr>
          <w:sz w:val="20"/>
          <w:szCs w:val="20"/>
        </w:rPr>
      </w:pPr>
      <w:r>
        <w:rPr>
          <w:sz w:val="20"/>
          <w:szCs w:val="20"/>
        </w:rPr>
        <w:tab/>
        <w:t>c. The request by Enron that Enron be allowed to contact industry participants to determine whether or not operations and management assistance can be obtained for the Quebec Facilities.</w:t>
      </w:r>
    </w:p>
    <w:p>
      <w:pPr>
        <w:pStyle w:val="Normal"/>
        <w:jc w:val="both"/>
        <w:rPr>
          <w:sz w:val="20"/>
          <w:szCs w:val="20"/>
        </w:rPr>
      </w:pPr>
      <w:r>
        <w:rPr>
          <w:sz w:val="20"/>
          <w:szCs w:val="20"/>
        </w:rPr>
      </w:r>
    </w:p>
    <w:p>
      <w:pPr>
        <w:pStyle w:val="Normal"/>
        <w:jc w:val="both"/>
        <w:rPr>
          <w:sz w:val="20"/>
          <w:szCs w:val="20"/>
        </w:rPr>
      </w:pPr>
      <w:r>
        <w:rPr>
          <w:sz w:val="20"/>
          <w:szCs w:val="20"/>
        </w:rPr>
        <w:t xml:space="preserve">Subsequent discussions between Enron and the Seller have taken place.  The Seller is now comfortable with the rationale behind items (a) and (b) being listed as contingencies (mostly based upon the current status of the Net Works Partnership fund) and Enron has agreed to drop item (c) as a contingency.  The Seller has, however, indicated that a “breakage fee” may be required from Enron in light of the uncertainty of the equity fund at the current time.  This issue is still being negotiated as the Seller has suggested a “breakage fee” of $10MM and Enron had anticipated the fee to be somewhere in the range of $2MM to $5MM.  Regardless of the number agreed to by Enron, as consideration for the fee, Enron will expect the Seller to be prohibited from pursuing any alternative purchasers for a specified period of time (e.g., 45 or 60 days).  The specified period is deemed necessary by Enron to ensure the equity fund is in place and the Proposed Acquisition is approved by the fund’s Board of Directors to be included in the fund. </w:t>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b/>
          <w:bCs/>
          <w:sz w:val="20"/>
          <w:szCs w:val="20"/>
        </w:rPr>
      </w:pPr>
      <w:r>
        <w:rPr>
          <w:b/>
          <w:bCs/>
          <w:sz w:val="20"/>
          <w:szCs w:val="20"/>
        </w:rPr>
      </w:r>
    </w:p>
    <w:p>
      <w:pPr>
        <w:pStyle w:val="Normal"/>
        <w:jc w:val="both"/>
        <w:rPr>
          <w:b/>
          <w:bCs/>
          <w:sz w:val="20"/>
          <w:szCs w:val="20"/>
        </w:rPr>
      </w:pPr>
      <w:r>
        <w:rPr>
          <w:b/>
          <w:bCs/>
          <w:sz w:val="20"/>
          <w:szCs w:val="20"/>
        </w:rPr>
      </w:r>
    </w:p>
    <w:p>
      <w:pPr>
        <w:sectPr>
          <w:headerReference w:type="default" r:id="rId3"/>
          <w:headerReference w:type="first" r:id="rId4"/>
          <w:footerReference w:type="default" r:id="rId5"/>
          <w:footerReference w:type="first" r:id="rId6"/>
          <w:type w:val="nextPage"/>
          <w:pgSz w:w="12240" w:h="15840"/>
          <w:pgMar w:left="720" w:right="720" w:gutter="0" w:header="720" w:top="776" w:footer="360" w:bottom="720"/>
          <w:pgNumType w:fmt="decimal"/>
          <w:formProt w:val="false"/>
          <w:titlePg/>
          <w:textDirection w:val="lrTb"/>
        </w:sectPr>
        <w:pStyle w:val="Normal"/>
        <w:jc w:val="both"/>
        <w:rPr>
          <w:b/>
          <w:bCs/>
          <w:sz w:val="20"/>
          <w:szCs w:val="20"/>
        </w:rPr>
      </w:pPr>
      <w:r>
        <w:rPr>
          <w:b/>
          <w:bCs/>
          <w:sz w:val="20"/>
          <w:szCs w:val="20"/>
        </w:rPr>
      </w:r>
    </w:p>
    <w:p>
      <w:pPr>
        <w:pStyle w:val="Normal"/>
        <w:jc w:val="both"/>
        <w:rPr>
          <w:b/>
          <w:bCs/>
          <w:sz w:val="20"/>
          <w:szCs w:val="20"/>
          <w:u w:val="single"/>
        </w:rPr>
      </w:pPr>
      <w:r>
        <w:rPr>
          <w:b/>
          <w:bCs/>
          <w:sz w:val="20"/>
          <w:szCs w:val="20"/>
          <w:u w:val="single"/>
        </w:rPr>
      </w:r>
    </w:p>
    <w:p>
      <w:pPr>
        <w:pStyle w:val="Normal"/>
        <w:jc w:val="both"/>
        <w:rPr>
          <w:sz w:val="20"/>
          <w:szCs w:val="20"/>
        </w:rPr>
      </w:pPr>
      <w:r>
        <w:rPr>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r>
    </w:p>
    <w:p>
      <w:pPr>
        <w:pStyle w:val="Normal"/>
        <w:jc w:val="center"/>
        <w:rPr>
          <w:b/>
          <w:bCs/>
          <w:sz w:val="20"/>
          <w:szCs w:val="20"/>
        </w:rPr>
      </w:pPr>
      <w:r>
        <w:rPr>
          <w:b/>
          <w:bCs/>
          <w:sz w:val="20"/>
          <w:szCs w:val="20"/>
        </w:rPr>
        <w:t>ATTACHMENT “A”</w:t>
      </w:r>
    </w:p>
    <w:p>
      <w:pPr>
        <w:pStyle w:val="Normal"/>
        <w:jc w:val="center"/>
        <w:rPr>
          <w:b/>
          <w:bCs/>
          <w:sz w:val="20"/>
          <w:szCs w:val="20"/>
        </w:rPr>
      </w:pPr>
      <w:r>
        <w:rPr>
          <w:b/>
          <w:bCs/>
          <w:sz w:val="20"/>
          <w:szCs w:val="20"/>
        </w:rPr>
        <w:t>Risk Assessment Memorandum For</w:t>
      </w:r>
    </w:p>
    <w:p>
      <w:pPr>
        <w:pStyle w:val="Normal"/>
        <w:jc w:val="center"/>
        <w:rPr>
          <w:b/>
          <w:bCs/>
          <w:sz w:val="20"/>
          <w:szCs w:val="20"/>
        </w:rPr>
      </w:pPr>
      <w:r>
        <w:rPr>
          <w:b/>
          <w:bCs/>
          <w:sz w:val="20"/>
          <w:szCs w:val="20"/>
        </w:rPr>
        <w:t>Diashowa Forest Products Ltd.</w:t>
      </w:r>
    </w:p>
    <w:p>
      <w:pPr>
        <w:pStyle w:val="Normal"/>
        <w:jc w:val="center"/>
        <w:rPr>
          <w:b/>
          <w:bCs/>
          <w:sz w:val="20"/>
          <w:szCs w:val="20"/>
        </w:rPr>
      </w:pPr>
      <w:r>
        <w:rPr>
          <w:b/>
          <w:bCs/>
          <w:sz w:val="20"/>
          <w:szCs w:val="20"/>
        </w:rPr>
        <w:t>(November 7, 2000)</w:t>
      </w:r>
    </w:p>
    <w:p>
      <w:pPr>
        <w:pStyle w:val="Normal"/>
        <w:jc w:val="both"/>
        <w:rPr>
          <w:sz w:val="20"/>
          <w:szCs w:val="20"/>
        </w:rPr>
      </w:pPr>
      <w:r>
        <w:rPr>
          <w:sz w:val="20"/>
          <w:szCs w:val="20"/>
        </w:rPr>
        <w:tab/>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tab/>
        <w:t>The information outlined below represents the major items identified through the due diligence process in association with the Proposed Acquisition.  This Attachment “A” does not represent an exhaustive list of all items identified, but rather identifies those items having a financial or potential financial impact on the Proposed Acquisition, aside from items associated with normal operating processes and procedures.  Where applicable, it will be indicated whether or not sufficient information in relation to an item has been provided by the Seller or if the item is one newly identified in the SPA, the review and assessment of which has not yet been undertaken by Enron.</w:t>
      </w:r>
    </w:p>
    <w:p>
      <w:pPr>
        <w:pStyle w:val="Normal"/>
        <w:jc w:val="both"/>
        <w:rPr>
          <w:sz w:val="20"/>
          <w:szCs w:val="20"/>
        </w:rPr>
      </w:pPr>
      <w:r>
        <w:rPr>
          <w:sz w:val="20"/>
          <w:szCs w:val="20"/>
        </w:rPr>
      </w:r>
    </w:p>
    <w:p>
      <w:pPr>
        <w:pStyle w:val="Normal"/>
        <w:jc w:val="both"/>
        <w:rPr>
          <w:sz w:val="20"/>
          <w:szCs w:val="20"/>
        </w:rPr>
      </w:pPr>
      <w:r>
        <w:rPr>
          <w:sz w:val="20"/>
          <w:szCs w:val="20"/>
        </w:rPr>
        <w:tab/>
      </w:r>
    </w:p>
    <w:p>
      <w:pPr>
        <w:pStyle w:val="Normal"/>
        <w:jc w:val="both"/>
        <w:rPr>
          <w:b/>
          <w:bCs/>
          <w:sz w:val="20"/>
          <w:szCs w:val="20"/>
        </w:rPr>
      </w:pPr>
      <w:r>
        <w:rPr>
          <w:b/>
          <w:bCs/>
          <w:sz w:val="20"/>
          <w:szCs w:val="20"/>
        </w:rPr>
        <w:t>A.  Environmental/Real Property</w:t>
      </w:r>
    </w:p>
    <w:p>
      <w:pPr>
        <w:pStyle w:val="Normal"/>
        <w:jc w:val="both"/>
        <w:rPr>
          <w:b/>
          <w:bCs/>
          <w:sz w:val="20"/>
          <w:szCs w:val="20"/>
        </w:rPr>
      </w:pPr>
      <w:r>
        <w:rPr>
          <w:b/>
          <w:bCs/>
          <w:sz w:val="20"/>
          <w:szCs w:val="20"/>
        </w:rPr>
        <w:tab/>
        <w:tab/>
      </w:r>
    </w:p>
    <w:p>
      <w:pPr>
        <w:pStyle w:val="Normal"/>
        <w:jc w:val="both"/>
        <w:rPr/>
      </w:pPr>
      <w:r>
        <w:rPr>
          <w:b/>
          <w:bCs/>
          <w:sz w:val="20"/>
          <w:szCs w:val="20"/>
        </w:rPr>
        <w:tab/>
      </w:r>
      <w:r>
        <w:rPr>
          <w:sz w:val="20"/>
          <w:szCs w:val="20"/>
        </w:rPr>
        <w:t xml:space="preserve">Environmental assessments for all of the properties, as well as title information relating to the Company’s ownership of most, but not all of the properties, was contained in the due diligence room.  The assessments were performed for the Company earlier this year, with no assessment being dated earlier than June, 2000.  Findings in these assessments were noted and, through various sources, reviewed and confirmed (where possible).  There were several items identified in the information provided; however, only those identified below are beyond that which is expected at manufacturing facilities that have been in operation for nearly eighty years.  It should be noted, however, that none of the above present issues for which external environmental consultants believe Phase II analysis is needed. </w:t>
      </w:r>
    </w:p>
    <w:p>
      <w:pPr>
        <w:pStyle w:val="Normal"/>
        <w:jc w:val="both"/>
        <w:rPr>
          <w:sz w:val="20"/>
          <w:szCs w:val="20"/>
        </w:rPr>
      </w:pPr>
      <w:r>
        <w:rPr>
          <w:sz w:val="20"/>
          <w:szCs w:val="20"/>
        </w:rPr>
        <w:t xml:space="preserve"> </w:t>
      </w:r>
    </w:p>
    <w:p>
      <w:pPr>
        <w:pStyle w:val="Normal"/>
        <w:jc w:val="both"/>
        <w:rPr>
          <w:sz w:val="20"/>
          <w:szCs w:val="20"/>
        </w:rPr>
      </w:pPr>
      <w:r>
        <w:rPr>
          <w:sz w:val="20"/>
          <w:szCs w:val="20"/>
        </w:rPr>
        <w:tab/>
        <w:t>Concerning title to the real property, except as indicated below, there have been no questions raised as to actual ownership (whether in fee or as leasehold) of any of the properties comprising the Quebec Facilities.  Further, there do not appear to be any issues associated with property taxes or any taxing authorities having jurisdiction over these assets.</w:t>
      </w:r>
    </w:p>
    <w:p>
      <w:pPr>
        <w:pStyle w:val="Normal"/>
        <w:jc w:val="both"/>
        <w:rPr>
          <w:sz w:val="20"/>
          <w:szCs w:val="20"/>
        </w:rPr>
      </w:pPr>
      <w:r>
        <w:rPr>
          <w:sz w:val="20"/>
          <w:szCs w:val="20"/>
        </w:rPr>
      </w:r>
    </w:p>
    <w:p>
      <w:pPr>
        <w:pStyle w:val="Normal"/>
        <w:jc w:val="both"/>
        <w:rPr>
          <w:sz w:val="20"/>
          <w:szCs w:val="20"/>
        </w:rPr>
      </w:pPr>
      <w:r>
        <w:rPr>
          <w:sz w:val="20"/>
          <w:szCs w:val="20"/>
        </w:rPr>
        <w:tab/>
        <w:t>The items identified as material legal risks are as follows:</w:t>
      </w:r>
    </w:p>
    <w:p>
      <w:pPr>
        <w:pStyle w:val="Normal"/>
        <w:jc w:val="both"/>
        <w:rPr>
          <w:b/>
          <w:bCs/>
          <w:sz w:val="20"/>
          <w:szCs w:val="20"/>
        </w:rPr>
      </w:pPr>
      <w:r>
        <w:rPr>
          <w:b/>
          <w:bCs/>
          <w:sz w:val="20"/>
          <w:szCs w:val="20"/>
        </w:rPr>
        <w:tab/>
      </w:r>
    </w:p>
    <w:p>
      <w:pPr>
        <w:pStyle w:val="Normal"/>
        <w:jc w:val="both"/>
        <w:rPr>
          <w:b/>
          <w:bCs/>
          <w:sz w:val="20"/>
          <w:szCs w:val="20"/>
        </w:rPr>
      </w:pPr>
      <w:r>
        <w:rPr>
          <w:b/>
          <w:bCs/>
          <w:sz w:val="20"/>
          <w:szCs w:val="20"/>
        </w:rPr>
        <w:tab/>
        <w:t>1.  Quebec Properties</w:t>
      </w:r>
    </w:p>
    <w:p>
      <w:pPr>
        <w:pStyle w:val="Normal"/>
        <w:jc w:val="both"/>
        <w:rPr>
          <w:b/>
          <w:bCs/>
          <w:sz w:val="20"/>
          <w:szCs w:val="20"/>
        </w:rPr>
      </w:pPr>
      <w:r>
        <w:rPr>
          <w:b/>
          <w:bCs/>
          <w:sz w:val="20"/>
          <w:szCs w:val="20"/>
        </w:rPr>
      </w:r>
    </w:p>
    <w:p>
      <w:pPr>
        <w:pStyle w:val="BodyText3"/>
        <w:rPr/>
      </w:pPr>
      <w:r>
        <w:rPr/>
        <w:tab/>
      </w:r>
      <w:r>
        <w:rPr>
          <w:u w:val="single"/>
        </w:rPr>
        <w:t xml:space="preserve">a.  </w:t>
      </w:r>
      <w:r>
        <w:rPr>
          <w:i/>
          <w:iCs/>
          <w:u w:val="single"/>
        </w:rPr>
        <w:t>Boiler #3 – Quebec Mill</w:t>
      </w:r>
      <w:r>
        <w:rPr>
          <w:i/>
          <w:iCs/>
        </w:rPr>
        <w:t>:</w:t>
      </w:r>
      <w:r>
        <w:rPr/>
        <w:t xml:space="preserve">   Boiler #3 at the Quebec mill facility is an old boiler and is used to burn wood waste and sludge (under appropriate authorizations).  Air emission regulations anticipated to be adopted within the next few years would require emission levels at a much lower level than currently being emitted.  Discussions with the engineering/environmental consultant retained for the Proposed Acquisition have indicated that boiler would not be able to comply with these new emission standards and would have to be replaced at a cost somewhere in the neighborhood of C$25MM to C$30MM.  Repair to the boiler is possible, but would result in significant loss of efficiency and productivity.  Further, repairs are not guaranteed to accomplish compliance with required air emission levels.</w:t>
      </w:r>
    </w:p>
    <w:p>
      <w:pPr>
        <w:pStyle w:val="Normal"/>
        <w:ind w:firstLine="720" w:end="0"/>
        <w:jc w:val="both"/>
        <w:rPr>
          <w:sz w:val="20"/>
          <w:szCs w:val="20"/>
          <w:lang w:val="en-CA"/>
        </w:rPr>
      </w:pPr>
      <w:r>
        <w:rPr>
          <w:sz w:val="20"/>
          <w:szCs w:val="20"/>
          <w:lang w:val="en-CA"/>
        </w:rPr>
      </w:r>
    </w:p>
    <w:p>
      <w:pPr>
        <w:pStyle w:val="Normal"/>
        <w:ind w:firstLine="720" w:end="0"/>
        <w:jc w:val="both"/>
        <w:rPr/>
      </w:pPr>
      <w:r>
        <w:rPr>
          <w:sz w:val="20"/>
          <w:szCs w:val="20"/>
          <w:u w:val="single"/>
          <w:lang w:val="en-CA"/>
        </w:rPr>
        <w:t xml:space="preserve">b.  </w:t>
      </w:r>
      <w:r>
        <w:rPr>
          <w:i/>
          <w:iCs/>
          <w:sz w:val="20"/>
          <w:szCs w:val="20"/>
          <w:u w:val="single"/>
          <w:lang w:val="en-CA"/>
        </w:rPr>
        <w:t>Soil Contamination – Quebec Mill</w:t>
      </w:r>
      <w:r>
        <w:rPr>
          <w:sz w:val="20"/>
          <w:szCs w:val="20"/>
          <w:lang w:val="en-CA"/>
        </w:rPr>
        <w:t>:   Based upon prior releases of hydrocarbons in certain areas of the Quebec mill facility, the Company has undertaken a systematic soil characterization program for the underlying property.  The program is incomplete, as some areas of the property have yet to be characterized.  On several occasions, contaminated soil was excavated and disposed of in an authorized facility (according to the Company’s internal audit records).  The environmental site assessment prepared for the Company in June 2000, identifies the remaining contamination as being “more localized than on a large scale”, indicating that the contamination is somewhat contained.  Current regulations do not require remediation of the soils identified to date and, therefore, no specific dollar value has been placed on any such effort.</w:t>
      </w:r>
    </w:p>
    <w:p>
      <w:pPr>
        <w:pStyle w:val="Normal"/>
        <w:ind w:firstLine="720" w:end="0"/>
        <w:jc w:val="both"/>
        <w:rPr>
          <w:sz w:val="20"/>
          <w:szCs w:val="20"/>
          <w:lang w:val="en-CA"/>
        </w:rPr>
      </w:pPr>
      <w:r>
        <w:rPr>
          <w:sz w:val="20"/>
          <w:szCs w:val="20"/>
          <w:lang w:val="en-CA"/>
        </w:rPr>
      </w:r>
    </w:p>
    <w:p>
      <w:pPr>
        <w:pStyle w:val="Normal"/>
        <w:ind w:firstLine="720" w:end="0"/>
        <w:jc w:val="both"/>
        <w:rPr>
          <w:sz w:val="20"/>
          <w:szCs w:val="20"/>
          <w:lang w:val="en-CA"/>
        </w:rPr>
      </w:pPr>
      <w:r>
        <w:rPr>
          <w:sz w:val="20"/>
          <w:szCs w:val="20"/>
          <w:lang w:val="en-CA"/>
        </w:rPr>
      </w:r>
    </w:p>
    <w:p>
      <w:pPr>
        <w:pStyle w:val="Normal"/>
        <w:ind w:firstLine="720" w:end="0"/>
        <w:jc w:val="both"/>
        <w:rPr>
          <w:sz w:val="20"/>
          <w:szCs w:val="20"/>
          <w:lang w:val="en-CA"/>
        </w:rPr>
      </w:pPr>
      <w:r>
        <w:rPr>
          <w:sz w:val="20"/>
          <w:szCs w:val="20"/>
          <w:lang w:val="en-CA"/>
        </w:rPr>
      </w:r>
    </w:p>
    <w:p>
      <w:pPr>
        <w:pStyle w:val="Normal"/>
        <w:ind w:firstLine="720" w:end="0"/>
        <w:jc w:val="both"/>
        <w:rPr>
          <w:sz w:val="20"/>
          <w:szCs w:val="20"/>
          <w:lang w:val="en-CA"/>
        </w:rPr>
      </w:pPr>
      <w:r>
        <w:rPr>
          <w:sz w:val="20"/>
          <w:szCs w:val="20"/>
          <w:lang w:val="en-CA"/>
        </w:rPr>
      </w:r>
    </w:p>
    <w:p>
      <w:pPr>
        <w:pStyle w:val="Normal"/>
        <w:ind w:firstLine="720" w:end="0"/>
        <w:jc w:val="both"/>
        <w:rPr>
          <w:sz w:val="20"/>
          <w:szCs w:val="20"/>
          <w:lang w:val="en-CA"/>
        </w:rPr>
      </w:pPr>
      <w:r>
        <w:rPr>
          <w:sz w:val="20"/>
          <w:szCs w:val="20"/>
          <w:lang w:val="en-CA"/>
        </w:rPr>
      </w:r>
    </w:p>
    <w:p>
      <w:pPr>
        <w:pStyle w:val="Normal"/>
        <w:ind w:firstLine="720" w:end="0"/>
        <w:jc w:val="both"/>
        <w:rPr>
          <w:sz w:val="20"/>
          <w:szCs w:val="20"/>
          <w:lang w:val="en-CA"/>
        </w:rPr>
      </w:pPr>
      <w:r>
        <w:rPr>
          <w:sz w:val="20"/>
          <w:szCs w:val="20"/>
          <w:lang w:val="en-CA"/>
        </w:rPr>
      </w:r>
    </w:p>
    <w:p>
      <w:pPr>
        <w:pStyle w:val="Normal"/>
        <w:ind w:firstLine="720" w:end="0"/>
        <w:jc w:val="both"/>
        <w:rPr/>
      </w:pPr>
      <w:r>
        <w:rPr>
          <w:sz w:val="20"/>
          <w:szCs w:val="20"/>
          <w:u w:val="single"/>
        </w:rPr>
        <w:t xml:space="preserve">c.  </w:t>
      </w:r>
      <w:r>
        <w:rPr>
          <w:i/>
          <w:iCs/>
          <w:sz w:val="20"/>
          <w:szCs w:val="20"/>
          <w:u w:val="single"/>
        </w:rPr>
        <w:t>Asbestos – Quebec Mill/Leduc Sawmill</w:t>
      </w:r>
      <w:r>
        <w:rPr>
          <w:i/>
          <w:iCs/>
          <w:sz w:val="20"/>
          <w:szCs w:val="20"/>
        </w:rPr>
        <w:t>:</w:t>
      </w:r>
      <w:r>
        <w:rPr>
          <w:sz w:val="20"/>
          <w:szCs w:val="20"/>
        </w:rPr>
        <w:t xml:space="preserve">  The representations and warranties in the SPA contain a reference to the existence of “friable asbestos in compliance with all Environmental Laws;” however, no information on the existence of this substance has previously been disclosed to Enron.  Schedules in the SPA also refer to studies or inventories of asbestos at the Quebec mill and Leduc sawmill, but this information has not been provided to Enron for review and assessment.   Outside counsel in Quebec has also identified various forms of asbestos prohibited by “Environmental Laws”, but not identified in the representations and warranties.  Further due diligence will be required on this issue.</w:t>
      </w:r>
    </w:p>
    <w:p>
      <w:pPr>
        <w:pStyle w:val="Normal"/>
        <w:ind w:firstLine="720" w:end="0"/>
        <w:jc w:val="both"/>
        <w:rPr>
          <w:sz w:val="20"/>
          <w:szCs w:val="20"/>
        </w:rPr>
      </w:pPr>
      <w:r>
        <w:rPr>
          <w:sz w:val="20"/>
          <w:szCs w:val="20"/>
        </w:rPr>
      </w:r>
    </w:p>
    <w:p>
      <w:pPr>
        <w:pStyle w:val="Normal"/>
        <w:ind w:firstLine="720" w:end="0"/>
        <w:jc w:val="both"/>
        <w:rPr>
          <w:sz w:val="20"/>
          <w:szCs w:val="20"/>
        </w:rPr>
      </w:pPr>
      <w:r>
        <w:rPr>
          <w:sz w:val="20"/>
          <w:szCs w:val="20"/>
        </w:rPr>
      </w:r>
    </w:p>
    <w:p>
      <w:pPr>
        <w:pStyle w:val="Normal"/>
        <w:ind w:firstLine="720" w:end="0"/>
        <w:jc w:val="both"/>
        <w:rPr/>
      </w:pPr>
      <w:r>
        <w:rPr>
          <w:sz w:val="20"/>
          <w:szCs w:val="20"/>
          <w:u w:val="single"/>
        </w:rPr>
        <w:t xml:space="preserve">d.  </w:t>
      </w:r>
      <w:r>
        <w:rPr>
          <w:i/>
          <w:iCs/>
          <w:sz w:val="20"/>
          <w:szCs w:val="20"/>
          <w:u w:val="single"/>
        </w:rPr>
        <w:t xml:space="preserve">Operating </w:t>
      </w:r>
      <w:r>
        <w:rPr>
          <w:i/>
          <w:iCs/>
          <w:sz w:val="20"/>
          <w:szCs w:val="20"/>
          <w:u w:val="single"/>
          <w:lang w:val="en-CA"/>
        </w:rPr>
        <w:t>Permit Issues - Leduc Sawmill:</w:t>
      </w:r>
      <w:r>
        <w:rPr>
          <w:sz w:val="20"/>
          <w:szCs w:val="20"/>
          <w:lang w:val="en-CA"/>
        </w:rPr>
        <w:t xml:space="preserve">  The data room contained copies of a series of permits for the Quebec mill facility, but contained only one permit for operations at the sawmill facility (obtained in 1988).  Subsequent reviews of the Department of Environment records disclosed the existence of additional permits for the mill facility, but, once again, an absence of complete permits for the sawmill.  Processing of the foregoing permit applications should have triggered a concern by the Department of Environment that other permits are not in place; however, it does not appear the Department took notice.  A permit pursuant to Section 22 of the Environment Quality Act (required if the facility’s nominal production capacity has been increased since December 22, 1972 – the date the applicable Section was implemented) should be in place.  Alternatively, no permit would be required if no significant changes have been made to the process or equipment (except for general maintenance and repairs) at the facility; however, this does not seem likely given the continuous updated of the facility by the Seller.  The facility may be grand-fathered with respect to this Section, but no information has been provided to confirm this status.  If a certificate is required, operating the plant without it would be subject to a C$1,800 fine for each day of operation in the absence of a permit.  Third parties that are suffering nuisance could also take advantage of the absence of authorization to have the operations reduced or even stopped by court order.  The fact, however, that the absence of authorization (if required) remained unnoticed for nearly 30 years from the effective date of the regulations suggests the odds for any court action are relatively low.</w:t>
      </w:r>
    </w:p>
    <w:p>
      <w:pPr>
        <w:pStyle w:val="Normal"/>
        <w:ind w:firstLine="720" w:end="0"/>
        <w:jc w:val="both"/>
        <w:rPr>
          <w:sz w:val="20"/>
          <w:szCs w:val="20"/>
          <w:u w:val="single"/>
          <w:lang w:val="en-CA"/>
        </w:rPr>
      </w:pPr>
      <w:r>
        <w:rPr>
          <w:sz w:val="20"/>
          <w:szCs w:val="20"/>
          <w:u w:val="single"/>
          <w:lang w:val="en-CA"/>
        </w:rPr>
      </w:r>
    </w:p>
    <w:p>
      <w:pPr>
        <w:pStyle w:val="Normal"/>
        <w:ind w:firstLine="720" w:end="0"/>
        <w:jc w:val="both"/>
        <w:rPr/>
      </w:pPr>
      <w:r>
        <w:rPr>
          <w:sz w:val="20"/>
          <w:szCs w:val="20"/>
          <w:u w:val="single"/>
          <w:lang w:val="en-CA"/>
        </w:rPr>
        <w:t xml:space="preserve">e.  </w:t>
      </w:r>
      <w:r>
        <w:rPr>
          <w:i/>
          <w:iCs/>
          <w:sz w:val="20"/>
          <w:szCs w:val="20"/>
          <w:u w:val="single"/>
          <w:lang w:val="en-CA"/>
        </w:rPr>
        <w:t>Real Estate Title to Quebec Mill:</w:t>
      </w:r>
      <w:r>
        <w:rPr>
          <w:i/>
          <w:iCs/>
          <w:sz w:val="20"/>
          <w:szCs w:val="20"/>
          <w:lang w:val="en-CA"/>
        </w:rPr>
        <w:t xml:space="preserve">    </w:t>
      </w:r>
      <w:r>
        <w:rPr>
          <w:sz w:val="20"/>
          <w:szCs w:val="20"/>
          <w:lang w:val="en-CA"/>
        </w:rPr>
        <w:t xml:space="preserve">In Quebec, all private lands derive title from grants made by the “Crown” in past decades/centuries.  The original Crown grant for lands upon which a majority of the mill facility sits appears to have been made in the 1620’s, with confirmation of grants to prairies covered by water at high tide being confirmed by grants dated in the 1650’s.  Because the Company has subsequently backfilled a portion of the tidal flats to create additional lands, title to that area may be in question since all beds of all navigable watercourses up to the high water line remain public lands in the absence of a grant from the Crown.  In this instance, research has revealed a 1858 act that placed public lands associated with the St. Charles River and not yet granted by the Crown into the Quebec Harbour Corporation.  No subsequent grant from the Quebec Harbour Corporation to either the Company or any predecessor in title has been located for the backfill area.  A document from the Quebec Department of Environment does, however, indicate that the property is private property, yet title opinions issued at the time the Company obtained refinancing for the properties in 1998 with The Bank of Nova Scotia makes no mention of this issue and avoids conclusions as to ownership based upon qualifications excluding reviews of issues involving the St. Charles River.  </w:t>
      </w:r>
    </w:p>
    <w:p>
      <w:pPr>
        <w:pStyle w:val="Normal"/>
        <w:jc w:val="both"/>
        <w:rPr>
          <w:sz w:val="20"/>
          <w:szCs w:val="20"/>
          <w:lang w:val="en-CA"/>
        </w:rPr>
      </w:pPr>
      <w:r>
        <w:rPr>
          <w:sz w:val="20"/>
          <w:szCs w:val="20"/>
          <w:lang w:val="en-CA"/>
        </w:rPr>
        <w:tab/>
      </w:r>
    </w:p>
    <w:p>
      <w:pPr>
        <w:pStyle w:val="Normal"/>
        <w:jc w:val="both"/>
        <w:rPr>
          <w:sz w:val="20"/>
          <w:szCs w:val="20"/>
          <w:lang w:val="en-CA"/>
        </w:rPr>
      </w:pPr>
      <w:r>
        <w:rPr>
          <w:sz w:val="20"/>
          <w:szCs w:val="20"/>
          <w:lang w:val="en-CA"/>
        </w:rPr>
        <w:tab/>
      </w:r>
    </w:p>
    <w:p>
      <w:pPr>
        <w:pStyle w:val="Normal"/>
        <w:jc w:val="both"/>
        <w:rPr>
          <w:b/>
          <w:bCs/>
          <w:sz w:val="20"/>
          <w:szCs w:val="20"/>
          <w:lang w:val="en-CA"/>
        </w:rPr>
      </w:pPr>
      <w:r>
        <w:rPr>
          <w:b/>
          <w:bCs/>
          <w:sz w:val="20"/>
          <w:szCs w:val="20"/>
          <w:lang w:val="en-CA"/>
        </w:rPr>
        <w:tab/>
        <w:t>2.  Maine Timberlands:</w:t>
      </w:r>
    </w:p>
    <w:p>
      <w:pPr>
        <w:pStyle w:val="Normal"/>
        <w:jc w:val="both"/>
        <w:rPr>
          <w:b/>
          <w:bCs/>
          <w:sz w:val="20"/>
          <w:szCs w:val="20"/>
          <w:lang w:val="en-CA"/>
        </w:rPr>
      </w:pPr>
      <w:r>
        <w:rPr>
          <w:b/>
          <w:bCs/>
          <w:sz w:val="20"/>
          <w:szCs w:val="20"/>
          <w:lang w:val="en-CA"/>
        </w:rPr>
      </w:r>
    </w:p>
    <w:p>
      <w:pPr>
        <w:pStyle w:val="Normal"/>
        <w:jc w:val="both"/>
        <w:rPr/>
      </w:pPr>
      <w:r>
        <w:rPr>
          <w:sz w:val="20"/>
          <w:szCs w:val="20"/>
          <w:lang w:val="en-CA"/>
        </w:rPr>
        <w:tab/>
      </w:r>
      <w:r>
        <w:rPr>
          <w:sz w:val="20"/>
          <w:szCs w:val="20"/>
          <w:u w:val="single"/>
          <w:lang w:val="en-CA"/>
        </w:rPr>
        <w:t xml:space="preserve">a.  </w:t>
      </w:r>
      <w:r>
        <w:rPr>
          <w:i/>
          <w:iCs/>
          <w:sz w:val="20"/>
          <w:szCs w:val="20"/>
          <w:u w:val="single"/>
          <w:lang w:val="en-CA"/>
        </w:rPr>
        <w:t>Above Ground Storage Facilities</w:t>
      </w:r>
      <w:r>
        <w:rPr>
          <w:sz w:val="20"/>
          <w:szCs w:val="20"/>
          <w:lang w:val="en-CA"/>
        </w:rPr>
        <w:t>:   The Maine timberland s</w:t>
      </w:r>
      <w:r>
        <w:rPr>
          <w:sz w:val="20"/>
          <w:szCs w:val="20"/>
        </w:rPr>
        <w:t>ite contains several above ground storage tanks used for petroleum product storage (both gasoline and diesel fuel).  The foregoing products are used by forest harvesting contractors and maple syrup producers operating at the property.  These parties are allegedly responsible for the management of these tanks; however, no documentation has been presented to confirm this responsibility.  The environmental assessment of the property prepared for the Company earlier this year identified this area as being a "high risk" area because of the lack of spill containment facilities.  Reviews by retained consultants have not, however, identified significant concerns in this area.</w:t>
      </w:r>
    </w:p>
    <w:p>
      <w:pPr>
        <w:pStyle w:val="Normal"/>
        <w:ind w:firstLine="720" w:end="0"/>
        <w:jc w:val="both"/>
        <w:rPr>
          <w:sz w:val="20"/>
          <w:szCs w:val="20"/>
        </w:rPr>
      </w:pPr>
      <w:r>
        <w:rPr>
          <w:sz w:val="20"/>
          <w:szCs w:val="20"/>
        </w:rPr>
      </w:r>
    </w:p>
    <w:p>
      <w:pPr>
        <w:pStyle w:val="Normal"/>
        <w:ind w:firstLine="720" w:end="0"/>
        <w:jc w:val="both"/>
        <w:rPr>
          <w:sz w:val="20"/>
          <w:szCs w:val="20"/>
        </w:rPr>
      </w:pPr>
      <w:r>
        <w:rPr>
          <w:sz w:val="20"/>
          <w:szCs w:val="20"/>
        </w:rPr>
      </w:r>
    </w:p>
    <w:p>
      <w:pPr>
        <w:pStyle w:val="Normal"/>
        <w:jc w:val="both"/>
        <w:rPr>
          <w:sz w:val="20"/>
          <w:szCs w:val="20"/>
        </w:rPr>
      </w:pPr>
      <w:r>
        <w:rPr>
          <w:sz w:val="20"/>
          <w:szCs w:val="20"/>
        </w:rPr>
        <w:tab/>
        <w:t xml:space="preserve">Having identified the above items as existing at this time, communication with Risk Management (David Marshall) was initiated to determine what portion of the associated risks (exclusive of air emissions issues) could be covered through a comprehensive insurance program.  Generally, known or identified environmental risks are excluded form any environmental policy coverage.  Therefore, items such as the existing contaminated soils would not be subject to coverage and would be Enron’s responsibility subsequent to the completion of the Proposed Acquisition.  In addition to modifications to the SPA to cover these issues, further investigation is underway with Risk Management to determine if any other risk transfer mechanisms are available.  </w:t>
      </w:r>
    </w:p>
    <w:p>
      <w:pPr>
        <w:pStyle w:val="Normal"/>
        <w:jc w:val="both"/>
        <w:rPr>
          <w:sz w:val="20"/>
          <w:szCs w:val="20"/>
        </w:rPr>
      </w:pPr>
      <w:r>
        <w:rPr>
          <w:sz w:val="20"/>
          <w:szCs w:val="20"/>
        </w:rPr>
        <w:t xml:space="preserve"> </w:t>
      </w:r>
    </w:p>
    <w:p>
      <w:pPr>
        <w:pStyle w:val="Normal"/>
        <w:jc w:val="both"/>
        <w:rPr>
          <w:sz w:val="20"/>
          <w:szCs w:val="20"/>
        </w:rPr>
      </w:pPr>
      <w:r>
        <w:rPr>
          <w:sz w:val="20"/>
          <w:szCs w:val="20"/>
        </w:rPr>
      </w:r>
    </w:p>
    <w:p>
      <w:pPr>
        <w:pStyle w:val="Normal"/>
        <w:rPr>
          <w:b/>
          <w:bCs/>
          <w:sz w:val="20"/>
          <w:szCs w:val="20"/>
        </w:rPr>
      </w:pPr>
      <w:r>
        <w:rPr>
          <w:b/>
          <w:bCs/>
          <w:sz w:val="20"/>
          <w:szCs w:val="20"/>
        </w:rPr>
      </w:r>
    </w:p>
    <w:p>
      <w:pPr>
        <w:pStyle w:val="Normal"/>
        <w:rPr>
          <w:b/>
          <w:bCs/>
          <w:sz w:val="20"/>
          <w:szCs w:val="20"/>
        </w:rPr>
      </w:pPr>
      <w:r>
        <w:rPr>
          <w:b/>
          <w:bCs/>
          <w:sz w:val="20"/>
          <w:szCs w:val="20"/>
        </w:rPr>
      </w:r>
    </w:p>
    <w:p>
      <w:pPr>
        <w:pStyle w:val="Normal"/>
        <w:rPr>
          <w:b/>
          <w:bCs/>
          <w:sz w:val="20"/>
          <w:szCs w:val="20"/>
        </w:rPr>
      </w:pPr>
      <w:r>
        <w:rPr>
          <w:b/>
          <w:bCs/>
          <w:sz w:val="20"/>
          <w:szCs w:val="20"/>
        </w:rPr>
        <w:t>B.  Benefits, Human Resources and Pension Plans</w:t>
      </w:r>
    </w:p>
    <w:p>
      <w:pPr>
        <w:pStyle w:val="Normal"/>
        <w:rPr>
          <w:b/>
          <w:bCs/>
          <w:sz w:val="20"/>
          <w:szCs w:val="20"/>
        </w:rPr>
      </w:pPr>
      <w:r>
        <w:rPr>
          <w:b/>
          <w:bCs/>
          <w:sz w:val="20"/>
          <w:szCs w:val="20"/>
        </w:rPr>
      </w:r>
    </w:p>
    <w:p>
      <w:pPr>
        <w:pStyle w:val="Normal"/>
        <w:jc w:val="both"/>
        <w:rPr/>
      </w:pPr>
      <w:r>
        <w:rPr>
          <w:sz w:val="20"/>
          <w:szCs w:val="20"/>
        </w:rPr>
        <w:tab/>
      </w:r>
      <w:r>
        <w:rPr>
          <w:sz w:val="20"/>
          <w:szCs w:val="20"/>
          <w:u w:val="single"/>
        </w:rPr>
        <w:t>1.</w:t>
      </w:r>
      <w:r>
        <w:rPr>
          <w:b/>
          <w:bCs/>
          <w:sz w:val="20"/>
          <w:szCs w:val="20"/>
          <w:u w:val="single"/>
        </w:rPr>
        <w:t xml:space="preserve">  </w:t>
      </w:r>
      <w:r>
        <w:rPr>
          <w:i/>
          <w:iCs/>
          <w:sz w:val="20"/>
          <w:szCs w:val="20"/>
          <w:u w:val="single"/>
        </w:rPr>
        <w:t>Pension Fund for Union Workers</w:t>
      </w:r>
      <w:r>
        <w:rPr>
          <w:i/>
          <w:iCs/>
          <w:sz w:val="20"/>
          <w:szCs w:val="20"/>
        </w:rPr>
        <w:t>:</w:t>
      </w:r>
      <w:r>
        <w:rPr>
          <w:sz w:val="20"/>
          <w:szCs w:val="20"/>
        </w:rPr>
        <w:t xml:space="preserve">   An analysis of the Pension Plan covering 905 unionized active participants and 522 unionized retired participants in Canada revealed a funding deficit of C$24.7MM and a solvency deficit of C$7.2MM.  Based upon an agreed amortization schedule, the Company is currently obligated to address this deficit by contributing additional funds in the amount of C$3.0MM through 2004 over and above the C$2.9MM annual contribution.  After 2004, additional funding is required for a period of ten years.  The deficit funding obligations is an obligation that would pass to Enron based upon change of control provisions within the plan and agreements with the unions form whose benefit the fund has been created.  The defeasance of this deficit has been incorporated into Enron’s business model for the Proposed Acquisition.</w:t>
      </w:r>
    </w:p>
    <w:p>
      <w:pPr>
        <w:pStyle w:val="Normal"/>
        <w:jc w:val="both"/>
        <w:rPr>
          <w:sz w:val="20"/>
          <w:szCs w:val="20"/>
          <w:u w:val="single"/>
        </w:rPr>
      </w:pPr>
      <w:r>
        <w:rPr>
          <w:sz w:val="20"/>
          <w:szCs w:val="20"/>
          <w:u w:val="single"/>
        </w:rPr>
      </w:r>
    </w:p>
    <w:p>
      <w:pPr>
        <w:pStyle w:val="Normal"/>
        <w:jc w:val="both"/>
        <w:rPr/>
      </w:pPr>
      <w:r>
        <w:rPr>
          <w:sz w:val="20"/>
          <w:szCs w:val="20"/>
        </w:rPr>
        <w:tab/>
      </w:r>
      <w:r>
        <w:rPr>
          <w:sz w:val="20"/>
          <w:szCs w:val="20"/>
          <w:u w:val="single"/>
        </w:rPr>
        <w:t>2.</w:t>
      </w:r>
      <w:r>
        <w:rPr>
          <w:i/>
          <w:iCs/>
          <w:sz w:val="20"/>
          <w:szCs w:val="20"/>
          <w:u w:val="single"/>
        </w:rPr>
        <w:t xml:space="preserve">  Supplemental Executive Retirement Plans:</w:t>
      </w:r>
      <w:r>
        <w:rPr>
          <w:sz w:val="20"/>
          <w:szCs w:val="20"/>
        </w:rPr>
        <w:t xml:space="preserve">   The Company maintains executive retirement plans in both Canada and the US.  Discussions with representatives of the Seller have revealed that these plans are in place, but currently have funding deficiencies in the following amounts:  Canadian Plan – C$10.5MM, US Plan – US$500,000.  Each plan contains a change of control provision requiring the employer to fully fund the plan upon a change of control.  This issue has been identified in the SPA, but excepted out of the representations and warranties based upon disclosure to Enron.  It is Enron’s intention to address this within the provisions of the SPA by requiring the Seller to fund the deficit prior to closing.</w:t>
      </w:r>
    </w:p>
    <w:p>
      <w:pPr>
        <w:pStyle w:val="Normal"/>
        <w:jc w:val="both"/>
        <w:rPr>
          <w:sz w:val="20"/>
          <w:szCs w:val="20"/>
        </w:rPr>
      </w:pPr>
      <w:r>
        <w:rPr>
          <w:sz w:val="20"/>
          <w:szCs w:val="20"/>
        </w:rPr>
      </w:r>
    </w:p>
    <w:p>
      <w:pPr>
        <w:pStyle w:val="Normal"/>
        <w:jc w:val="both"/>
        <w:rPr/>
      </w:pPr>
      <w:r>
        <w:rPr>
          <w:sz w:val="20"/>
          <w:szCs w:val="20"/>
        </w:rPr>
        <w:tab/>
      </w:r>
      <w:r>
        <w:rPr>
          <w:sz w:val="20"/>
          <w:szCs w:val="20"/>
          <w:u w:val="single"/>
        </w:rPr>
        <w:t xml:space="preserve">3. </w:t>
      </w:r>
      <w:r>
        <w:rPr>
          <w:i/>
          <w:iCs/>
          <w:sz w:val="20"/>
          <w:szCs w:val="20"/>
          <w:u w:val="single"/>
        </w:rPr>
        <w:t xml:space="preserve">  Written Employment Contracts – Company Executives:</w:t>
      </w:r>
      <w:r>
        <w:rPr>
          <w:i/>
          <w:iCs/>
          <w:sz w:val="20"/>
          <w:szCs w:val="20"/>
        </w:rPr>
        <w:t xml:space="preserve">  </w:t>
      </w:r>
      <w:r>
        <w:rPr>
          <w:sz w:val="20"/>
          <w:szCs w:val="20"/>
        </w:rPr>
        <w:t xml:space="preserve">At least two written employment agreements for executives at DSL and DFPL have been identified, but no information about these agreements has been provided.  Discussions with Company personnel have revealed the existence of these agreements and the belief that, because of change of control provisions presumed to be in these agreements, payments under these agreements upon a purchase of the businesses would be “more generous” than the severance provided for in the HR Corporate Policies Manual.  A third written employment agreement has been identified; however, this agreement is due to expire in October, 2002, at which time it is believed the individual will take retirement.  These agreements have been identified in the schedules to the SPA, but no information for assessment of impact to Enron has been provided.  </w:t>
      </w:r>
    </w:p>
    <w:p>
      <w:pPr>
        <w:pStyle w:val="Normal"/>
        <w:jc w:val="both"/>
        <w:rPr>
          <w:b/>
          <w:bCs/>
          <w:sz w:val="20"/>
          <w:szCs w:val="20"/>
        </w:rPr>
      </w:pPr>
      <w:r>
        <w:rPr>
          <w:b/>
          <w:bCs/>
          <w:sz w:val="20"/>
          <w:szCs w:val="20"/>
        </w:rPr>
      </w:r>
    </w:p>
    <w:p>
      <w:pPr>
        <w:pStyle w:val="Normal"/>
        <w:jc w:val="both"/>
        <w:rPr>
          <w:b/>
          <w:bCs/>
          <w:sz w:val="20"/>
          <w:szCs w:val="20"/>
        </w:rPr>
      </w:pPr>
      <w:r>
        <w:rPr>
          <w:b/>
          <w:bCs/>
          <w:sz w:val="20"/>
          <w:szCs w:val="20"/>
        </w:rPr>
      </w:r>
    </w:p>
    <w:p>
      <w:pPr>
        <w:pStyle w:val="Normal"/>
        <w:jc w:val="both"/>
        <w:rPr>
          <w:sz w:val="20"/>
          <w:szCs w:val="20"/>
        </w:rPr>
      </w:pPr>
      <w:r>
        <w:rPr>
          <w:b/>
          <w:bCs/>
          <w:sz w:val="20"/>
          <w:szCs w:val="20"/>
        </w:rPr>
        <w:t>C.  First Nations/Indian Affair Issues</w:t>
      </w:r>
    </w:p>
    <w:p>
      <w:pPr>
        <w:pStyle w:val="Heading1"/>
        <w:ind w:firstLine="720" w:start="0" w:end="0"/>
        <w:jc w:val="both"/>
        <w:rPr>
          <w:rFonts w:ascii="Arial" w:hAnsi="Arial" w:eastAsia="Arial" w:cs="Arial"/>
          <w:sz w:val="20"/>
          <w:szCs w:val="20"/>
          <w:u w:val="none"/>
        </w:rPr>
      </w:pPr>
      <w:r>
        <w:rPr>
          <w:rFonts w:eastAsia="Arial" w:cs="Arial" w:ascii="Arial" w:hAnsi="Arial"/>
          <w:sz w:val="20"/>
          <w:szCs w:val="20"/>
          <w:u w:val="none"/>
        </w:rPr>
      </w:r>
    </w:p>
    <w:p>
      <w:pPr>
        <w:pStyle w:val="Heading1"/>
        <w:ind w:firstLine="720" w:start="0" w:end="0"/>
        <w:jc w:val="both"/>
        <w:rPr>
          <w:rFonts w:ascii="Arial" w:hAnsi="Arial" w:eastAsia="Arial" w:cs="Arial"/>
          <w:b/>
          <w:bCs/>
          <w:sz w:val="20"/>
          <w:szCs w:val="20"/>
          <w:u w:val="none"/>
        </w:rPr>
      </w:pPr>
      <w:r>
        <w:rPr>
          <w:rFonts w:eastAsia="Arial" w:cs="Arial" w:ascii="Arial" w:hAnsi="Arial"/>
          <w:sz w:val="20"/>
          <w:szCs w:val="20"/>
          <w:u w:val="none"/>
        </w:rPr>
        <w:t xml:space="preserve">None have been identified in relation to the Quebec Facilities.  </w:t>
      </w:r>
    </w:p>
    <w:p>
      <w:pPr>
        <w:pStyle w:val="Normal"/>
        <w:jc w:val="both"/>
        <w:rPr>
          <w:rFonts w:ascii="Arial" w:hAnsi="Arial" w:eastAsia="Arial" w:cs="Arial"/>
          <w:b/>
          <w:bCs/>
          <w:sz w:val="20"/>
          <w:szCs w:val="20"/>
          <w:u w:val="none"/>
        </w:rPr>
      </w:pPr>
      <w:r>
        <w:rPr>
          <w:rFonts w:eastAsia="Arial" w:cs="Arial"/>
          <w:b/>
          <w:bCs/>
          <w:sz w:val="20"/>
          <w:szCs w:val="20"/>
          <w:u w:val="none"/>
        </w:rPr>
      </w:r>
    </w:p>
    <w:p>
      <w:pPr>
        <w:pStyle w:val="Normal"/>
        <w:jc w:val="both"/>
        <w:rPr>
          <w:sz w:val="20"/>
          <w:szCs w:val="20"/>
        </w:rPr>
      </w:pPr>
      <w:r>
        <w:rPr>
          <w:sz w:val="20"/>
          <w:szCs w:val="20"/>
        </w:rPr>
      </w:r>
    </w:p>
    <w:p>
      <w:pPr>
        <w:pStyle w:val="Normal"/>
        <w:jc w:val="both"/>
        <w:rPr/>
      </w:pPr>
      <w:r>
        <w:rPr>
          <w:b/>
          <w:bCs/>
          <w:sz w:val="20"/>
          <w:szCs w:val="20"/>
        </w:rPr>
        <w:t>D</w:t>
      </w:r>
      <w:r>
        <w:rPr>
          <w:b/>
          <w:bCs/>
          <w:sz w:val="20"/>
          <w:szCs w:val="20"/>
          <w:lang w:val="en-CA"/>
        </w:rPr>
        <w:t>.  Litigation</w:t>
      </w:r>
    </w:p>
    <w:p>
      <w:pPr>
        <w:pStyle w:val="Normal"/>
        <w:jc w:val="both"/>
        <w:rPr>
          <w:b/>
          <w:bCs/>
          <w:sz w:val="20"/>
          <w:szCs w:val="20"/>
          <w:lang w:val="en-CA"/>
        </w:rPr>
      </w:pPr>
      <w:r>
        <w:rPr>
          <w:b/>
          <w:bCs/>
          <w:sz w:val="20"/>
          <w:szCs w:val="20"/>
          <w:lang w:val="en-CA"/>
        </w:rPr>
      </w:r>
    </w:p>
    <w:p>
      <w:pPr>
        <w:pStyle w:val="Normal"/>
        <w:jc w:val="both"/>
        <w:rPr/>
      </w:pPr>
      <w:r>
        <w:rPr>
          <w:sz w:val="20"/>
          <w:szCs w:val="20"/>
        </w:rPr>
        <w:tab/>
      </w:r>
      <w:r>
        <w:rPr>
          <w:sz w:val="20"/>
          <w:szCs w:val="20"/>
          <w:u w:val="single"/>
        </w:rPr>
        <w:t xml:space="preserve">1.  </w:t>
      </w:r>
      <w:r>
        <w:rPr>
          <w:i/>
          <w:iCs/>
          <w:sz w:val="20"/>
          <w:szCs w:val="20"/>
          <w:u w:val="single"/>
        </w:rPr>
        <w:t>Rama Group of Companies Inc. – The Company</w:t>
      </w:r>
      <w:r>
        <w:rPr>
          <w:i/>
          <w:iCs/>
          <w:sz w:val="20"/>
          <w:szCs w:val="20"/>
        </w:rPr>
        <w:t>:</w:t>
      </w:r>
      <w:r>
        <w:rPr>
          <w:sz w:val="20"/>
          <w:szCs w:val="20"/>
        </w:rPr>
        <w:t xml:space="preserve">  Rama Group of Companies Inc. (“Rama”), a purchaser of products from the Company, filed Chapter 11 bankruptcy in June of 2000.  The Company is owned approximately US$8MM under a newsprint supply contract and approximately US$169MM on outstanding, secured loans.  The loan is secured by a collateral mortgage and guarantee agreement from a principal of Rama and notice of collection is to be served under the guarantee for the collection of the outstanding loan amount. </w:t>
      </w:r>
    </w:p>
    <w:p>
      <w:pPr>
        <w:pStyle w:val="Normal"/>
        <w:jc w:val="both"/>
        <w:rPr>
          <w:sz w:val="20"/>
          <w:szCs w:val="20"/>
        </w:rPr>
      </w:pPr>
      <w:r>
        <w:rPr>
          <w:sz w:val="20"/>
          <w:szCs w:val="20"/>
        </w:rPr>
      </w:r>
    </w:p>
    <w:p>
      <w:pPr>
        <w:pStyle w:val="Normal"/>
        <w:jc w:val="both"/>
        <w:rPr>
          <w:b/>
          <w:bCs/>
          <w:sz w:val="20"/>
          <w:szCs w:val="20"/>
        </w:rPr>
      </w:pPr>
      <w:r>
        <w:rPr>
          <w:b/>
          <w:bCs/>
          <w:sz w:val="20"/>
          <w:szCs w:val="20"/>
        </w:rPr>
      </w:r>
    </w:p>
    <w:p>
      <w:pPr>
        <w:pStyle w:val="Normal"/>
        <w:rPr>
          <w:sz w:val="20"/>
          <w:szCs w:val="20"/>
        </w:rPr>
      </w:pPr>
      <w:r>
        <w:rPr>
          <w:b/>
          <w:bCs/>
          <w:sz w:val="20"/>
          <w:szCs w:val="20"/>
        </w:rPr>
        <w:t>E.  General Matters</w:t>
      </w:r>
    </w:p>
    <w:p>
      <w:pPr>
        <w:pStyle w:val="Normal"/>
        <w:jc w:val="both"/>
        <w:rPr>
          <w:i/>
          <w:i/>
          <w:iCs/>
          <w:sz w:val="20"/>
          <w:szCs w:val="20"/>
        </w:rPr>
      </w:pPr>
      <w:r>
        <w:rPr>
          <w:i/>
          <w:iCs/>
          <w:sz w:val="20"/>
          <w:szCs w:val="20"/>
        </w:rPr>
      </w:r>
    </w:p>
    <w:p>
      <w:pPr>
        <w:pStyle w:val="BodyText3"/>
        <w:ind w:firstLine="720" w:end="0"/>
        <w:rPr/>
      </w:pPr>
      <w:r>
        <w:rPr>
          <w:u w:val="single"/>
        </w:rPr>
        <w:t>1.</w:t>
      </w:r>
      <w:r>
        <w:rPr>
          <w:i/>
          <w:iCs/>
          <w:u w:val="single"/>
        </w:rPr>
        <w:t xml:space="preserve">   Packaging Business Non-Compete – Canadian Operations</w:t>
      </w:r>
      <w:r>
        <w:rPr>
          <w:i/>
          <w:iCs/>
        </w:rPr>
        <w:t>:</w:t>
      </w:r>
      <w:r>
        <w:rPr/>
        <w:t xml:space="preserve">    This item relates to the non-compete provisions of Purchase and Sale Agreement between Red River and the Seller relating to the March, 2000 sale of the Seller’s Winnipeg paper bag and convert paper products business.  The non-compete provisions prohibit the Company or its "affiliates" from competing in the foregoing business for a period of 5 years in both Canada and the US.  Under Canadian law, the provision is drawn narrowly enough to be enforceable and appears to accurately capture the intention of the parties existing at that time.  Concerns have been raised as to whether or not Enron would be subject to this non-compete provision in relation to paper bag and convert paper products business in Canada and the US or, alternatively, the trading of these products generally (e.g., whether or not this action constitutes operations in the paper bag and convert paper business).  Canadian counsel has confirmed that Enron would not be subject to the non-compete provisions as Enron is not an affiliate of the Seller for any reason.  The Canadian analysis of the non-compete provisions is similar to the US analysis.  Accordingly, though couched in broad terms (e.g., the entire US), the provision is reasonable given the contemplation of the parties at the time the provision was drawn. </w:t>
      </w:r>
    </w:p>
    <w:sectPr>
      <w:headerReference w:type="default" r:id="rId7"/>
      <w:headerReference w:type="first" r:id="rId8"/>
      <w:footerReference w:type="default" r:id="rId9"/>
      <w:footerReference w:type="first" r:id="rId10"/>
      <w:type w:val="nextPage"/>
      <w:pgSz w:w="12240" w:h="15840"/>
      <w:pgMar w:left="720" w:right="720" w:gutter="0" w:header="720" w:top="1008" w:footer="0" w:bottom="1008"/>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Times New Roman">
    <w:charset w:val="01"/>
    <w:family w:val="roman"/>
    <w:pitch w:val="variable"/>
  </w:font>
  <w:font w:name="CG Times (W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/mnt/main-storage/datasets/enron-docs/doc/transaction_outline_memo_11_07_00_-7deb81c8e2221cb372fc37a247ff26552fa72aa555407a583b487b7cf018bde2.doc</w:t>
    </w:r>
    <w:r>
      <w:rPr>
        <w:sz w:val="12"/>
        <w:szCs w:val="12"/>
      </w:rPr>
      <w:fldChar w:fldCharType="end"/>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5760" w:leader="none"/>
        <w:tab w:val="right" w:pos="10800" w:leader="none"/>
      </w:tabs>
      <w:rPr>
        <w:b/>
        <w:bCs/>
        <w:sz w:val="16"/>
        <w:szCs w:val="16"/>
      </w:rPr>
    </w:pPr>
    <w:r>
      <w:rPr>
        <w:b/>
        <w:bCs/>
        <w:sz w:val="16"/>
        <w:szCs w:val="16"/>
      </w:rPr>
      <w:tab/>
    </w:r>
  </w:p>
  <w:p>
    <w:pPr>
      <w:pStyle w:val="Footer"/>
      <w:tabs>
        <w:tab w:val="clear" w:pos="4320"/>
        <w:tab w:val="left" w:pos="3780" w:leader="none"/>
        <w:tab w:val="center" w:pos="7560" w:leader="none"/>
        <w:tab w:val="right" w:pos="8640" w:leader="none"/>
        <w:tab w:val="right" w:pos="10800" w:leader="none"/>
      </w:tabs>
      <w:rPr>
        <w:b/>
        <w:bCs/>
        <w:sz w:val="16"/>
        <w:szCs w:val="16"/>
      </w:rPr>
    </w:pPr>
    <w:r>
      <w:rPr>
        <w:b/>
        <w:bCs/>
        <w:sz w:val="16"/>
        <w:szCs w:val="16"/>
      </w:rPr>
    </w:r>
  </w:p>
  <w:p>
    <w:pPr>
      <w:pStyle w:val="Footer"/>
      <w:tabs>
        <w:tab w:val="clear" w:pos="4320"/>
        <w:tab w:val="left" w:pos="3780" w:leader="none"/>
        <w:tab w:val="center" w:pos="7560" w:leader="none"/>
        <w:tab w:val="right" w:pos="8640" w:leader="none"/>
        <w:tab w:val="right" w:pos="10800" w:leader="none"/>
      </w:tabs>
      <w:rPr>
        <w:sz w:val="12"/>
        <w:szCs w:val="12"/>
      </w:rPr>
    </w:pPr>
    <w:r>
      <w:rPr>
        <w:sz w:val="12"/>
        <w:szCs w:val="12"/>
      </w:rPr>
      <w:fldChar w:fldCharType="begin"/>
    </w:r>
    <w:r>
      <w:rPr>
        <w:sz w:val="12"/>
        <w:szCs w:val="12"/>
      </w:rPr>
      <w:instrText xml:space="preserve"> FILENAME \p </w:instrText>
    </w:r>
    <w:r>
      <w:rPr>
        <w:sz w:val="12"/>
        <w:szCs w:val="12"/>
      </w:rPr>
      <w:fldChar w:fldCharType="separate"/>
    </w:r>
    <w:r>
      <w:rPr>
        <w:sz w:val="12"/>
        <w:szCs w:val="12"/>
      </w:rPr>
      <w:t>/mnt/main-storage/datasets/enron-docs/doc/transaction_outline_memo_11_07_00_-7deb81c8e2221cb372fc37a247ff26552fa72aa555407a583b487b7cf018bde2.doc</w:t>
    </w:r>
    <w:r>
      <w:rPr>
        <w:sz w:val="12"/>
        <w:szCs w:val="12"/>
      </w:rPr>
      <w:fldChar w:fldCharType="end"/>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p>
    <w:pPr>
      <w:pStyle w:val="Footer"/>
      <w:tabs>
        <w:tab w:val="clear" w:pos="4320"/>
        <w:tab w:val="left" w:pos="3780" w:leader="none"/>
        <w:tab w:val="center" w:pos="7560" w:leader="none"/>
        <w:tab w:val="right" w:pos="8640" w:leader="none"/>
        <w:tab w:val="right" w:pos="10800" w:leader="none"/>
      </w:tabs>
      <w:rPr>
        <w:sz w:val="8"/>
        <w:szCs w:val="8"/>
      </w:rPr>
    </w:pPr>
    <w:r>
      <w:rPr>
        <w:sz w:val="8"/>
        <w:szCs w:val="8"/>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Risk Assessment Memorandum – Daishowa Forest Products, Ltd.</w:t>
      <w:tab/>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Risk Assessment Memorandum – Diashowa Forest Products, Ltd.</w:t>
    </w:r>
  </w:p>
  <w:p>
    <w:pPr>
      <w:pStyle w:val="Header"/>
      <w:rPr/>
    </w:pPr>
    <w:r>
      <w:rPr/>
      <w:t xml:space="preserve">Attachment “A” </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Risk Assessment Memorandum – Diashowa Forest Products, Ltd.</w:t>
    </w:r>
  </w:p>
  <w:p>
    <w:pPr>
      <w:pStyle w:val="Header"/>
      <w:rPr/>
    </w:pPr>
    <w:r>
      <w:rPr/>
      <w:t>Attachment “A”</w:t>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1">
    <w:name w:val="heading 1"/>
    <w:basedOn w:val="Normal"/>
    <w:next w:val="Normal"/>
    <w:qFormat/>
    <w:pPr>
      <w:keepNext w:val="true"/>
      <w:numPr>
        <w:ilvl w:val="0"/>
        <w:numId w:val="1"/>
      </w:numPr>
      <w:tabs>
        <w:tab w:val="clear" w:pos="540"/>
      </w:tabs>
      <w:outlineLvl w:val="0"/>
    </w:pPr>
    <w:rPr>
      <w:rFonts w:ascii="Times New Roman" w:hAnsi="Times New Roman" w:eastAsia="Times New Roman" w:cs="Times New Roman"/>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FootnoteText">
    <w:name w:val="footnote text"/>
    <w:basedOn w:val="Normal"/>
    <w:pPr/>
    <w:rPr>
      <w:sz w:val="20"/>
      <w:szCs w:val="20"/>
    </w:rPr>
  </w:style>
  <w:style w:type="paragraph" w:styleId="BodyText3">
    <w:name w:val="Body Text 3"/>
    <w:basedOn w:val="Normal"/>
    <w:qFormat/>
    <w:pPr>
      <w:jc w:val="both"/>
    </w:pPr>
    <w:rPr>
      <w:sz w:val="20"/>
      <w:szCs w:val="20"/>
    </w:rPr>
  </w:style>
  <w:style w:type="paragraph" w:styleId="BodyText2">
    <w:name w:val="Body Text 2"/>
    <w:basedOn w:val="Normal"/>
    <w:qFormat/>
    <w:pPr>
      <w:tabs>
        <w:tab w:val="clear" w:pos="540"/>
      </w:tabs>
      <w:ind w:firstLine="720" w:start="0" w:end="0"/>
      <w:jc w:val="both"/>
    </w:pPr>
    <w:rPr>
      <w:rFonts w:ascii="Times New Roman" w:hAnsi="Times New Roman" w:eastAsia="Times New Roman" w:cs="Times New Roman"/>
      <w:b/>
      <w:bCs/>
    </w:rPr>
  </w:style>
  <w:style w:type="paragraph" w:styleId="WW-BodyText2">
    <w:name w:val="WW-Body Text 2"/>
    <w:basedOn w:val="Normal"/>
    <w:qFormat/>
    <w:pPr>
      <w:ind w:firstLine="720" w:start="0" w:end="0"/>
      <w:jc w:val="both"/>
    </w:pPr>
    <w:rPr>
      <w:sz w:val="20"/>
      <w:szCs w:val="20"/>
      <w:lang w:val="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128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2000-11-07T12:28:00Z</dcterms:created>
  <dc:creator>Enron</dc:creator>
  <dc:description/>
  <dc:language>en-CA</dc:language>
  <cp:lastModifiedBy>mgreenbe</cp:lastModifiedBy>
  <cp:lastPrinted>2000-11-07T14:23:00Z</cp:lastPrinted>
  <dcterms:modified xsi:type="dcterms:W3CDTF">2000-11-07T21:39:00Z</dcterms:modified>
  <cp:revision>11</cp:revision>
  <dc:subject>The Subject of the Memo</dc:subject>
  <dc:title>Eron Capital &amp; Trade Resources Memo</dc:title>
</cp:coreProperties>
</file>