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ind w:firstLine="720" w:end="0"/>
        <w:jc w:val="both"/>
        <w:rPr/>
      </w:pPr>
      <w:r>
        <w:rPr>
          <w:b/>
          <w:bCs/>
          <w:sz w:val="22"/>
        </w:rPr>
        <w:t>THIS BROKER ELECTRONIC TRANSACTION AGREEMENT</w:t>
      </w:r>
      <w:r>
        <w:rPr>
          <w:sz w:val="22"/>
        </w:rPr>
        <w:t xml:space="preserve"> (this “Agreement”) is made and entered into on this the ___ day of May, 2001, by and between ENRONONLINE, LLC, having its principal place of business at 1400 Smith Street, Houston, Texas 77002 (“Enron”) and TRADESPARK, L.P., having its principal place of business at One World Trade Center, New York, New York  10048 (“Broker”).</w:t>
      </w:r>
    </w:p>
    <w:p>
      <w:pPr>
        <w:pStyle w:val="Normal"/>
        <w:jc w:val="both"/>
        <w:rPr>
          <w:sz w:val="22"/>
        </w:rPr>
      </w:pPr>
      <w:r>
        <w:rPr>
          <w:sz w:val="22"/>
        </w:rPr>
      </w:r>
    </w:p>
    <w:p>
      <w:pPr>
        <w:pStyle w:val="Normal"/>
        <w:jc w:val="center"/>
        <w:rPr/>
      </w:pPr>
      <w:r>
        <w:rPr>
          <w:b/>
          <w:bCs/>
          <w:sz w:val="22"/>
          <w:u w:val="single"/>
        </w:rPr>
        <w:t>RECITALS</w:t>
      </w:r>
      <w:r>
        <w:rPr>
          <w:b/>
          <w:bCs/>
          <w:sz w:val="22"/>
        </w:rPr>
        <w:t>:</w:t>
      </w:r>
    </w:p>
    <w:p>
      <w:pPr>
        <w:pStyle w:val="Normal"/>
        <w:widowControl/>
        <w:jc w:val="both"/>
        <w:rPr>
          <w:b/>
          <w:bCs/>
          <w:sz w:val="22"/>
        </w:rPr>
      </w:pPr>
      <w:r>
        <w:rPr>
          <w:b/>
          <w:bCs/>
          <w:sz w:val="22"/>
        </w:rPr>
      </w:r>
    </w:p>
    <w:p>
      <w:pPr>
        <w:pStyle w:val="Normal"/>
        <w:widowControl/>
        <w:ind w:firstLine="1440" w:end="0"/>
        <w:jc w:val="both"/>
        <w:rPr/>
      </w:pPr>
      <w:r>
        <w:rPr>
          <w:b/>
          <w:bCs/>
          <w:sz w:val="22"/>
        </w:rPr>
        <w:t>WHEREAS,</w:t>
      </w:r>
      <w:r>
        <w:rPr>
          <w:sz w:val="22"/>
        </w:rPr>
        <w:t xml:space="preserve">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pPr>
      <w:r>
        <w:rPr>
          <w:b/>
          <w:bCs/>
          <w:sz w:val="22"/>
        </w:rPr>
        <w:t>WHEREAS,</w:t>
      </w:r>
      <w:r>
        <w:rPr>
          <w:sz w:val="22"/>
        </w:rPr>
        <w:t xml:space="preserve">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pPr>
      <w:r>
        <w:rPr>
          <w:b/>
          <w:bCs/>
          <w:sz w:val="22"/>
        </w:rPr>
        <w:t>WHEREAS,</w:t>
      </w:r>
      <w:r>
        <w:rPr>
          <w:sz w:val="22"/>
        </w:rPr>
        <w:t xml:space="preserve">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pPr>
      <w:r>
        <w:rPr>
          <w:b/>
          <w:bCs/>
          <w:sz w:val="22"/>
        </w:rPr>
        <w:t>WHEREAS,</w:t>
      </w:r>
      <w:r>
        <w:rPr>
          <w:sz w:val="22"/>
        </w:rPr>
        <w:t xml:space="preserve">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jc w:val="both"/>
        <w:rPr>
          <w:sz w:val="22"/>
        </w:rPr>
      </w:pPr>
      <w:r>
        <w:rPr>
          <w:sz w:val="22"/>
        </w:rPr>
      </w:r>
    </w:p>
    <w:p>
      <w:pPr>
        <w:pStyle w:val="Normal"/>
        <w:widowControl/>
        <w:jc w:val="center"/>
        <w:rPr>
          <w:b/>
          <w:bCs/>
          <w:sz w:val="22"/>
          <w:u w:val="single"/>
        </w:rPr>
      </w:pPr>
      <w:r>
        <w:rPr>
          <w:b/>
          <w:bCs/>
          <w:sz w:val="22"/>
          <w:u w:val="single"/>
        </w:rPr>
        <w:t>AGREEMENTS</w:t>
      </w:r>
      <w:r>
        <w:rPr>
          <w:b/>
          <w:bCs/>
          <w:sz w:val="22"/>
        </w:rPr>
        <w:t>:</w:t>
      </w:r>
    </w:p>
    <w:p>
      <w:pPr>
        <w:pStyle w:val="Normal"/>
        <w:widowControl/>
        <w:jc w:val="both"/>
        <w:rPr>
          <w:b/>
          <w:bCs/>
          <w:sz w:val="22"/>
          <w:u w:val="single"/>
        </w:rPr>
      </w:pPr>
      <w:r>
        <w:rPr>
          <w:b/>
          <w:bCs/>
          <w:sz w:val="22"/>
          <w:u w:val="single"/>
        </w:rPr>
      </w:r>
    </w:p>
    <w:p>
      <w:pPr>
        <w:pStyle w:val="Normal"/>
        <w:widowControl/>
        <w:ind w:firstLine="1440" w:end="0"/>
        <w:jc w:val="both"/>
        <w:rPr/>
      </w:pPr>
      <w:r>
        <w:rPr>
          <w:b/>
          <w:bCs/>
          <w:sz w:val="22"/>
        </w:rPr>
        <w:t>NOW, THEREFORE,</w:t>
      </w:r>
      <w:r>
        <w:rPr>
          <w:sz w:val="22"/>
        </w:rPr>
        <w:t xml:space="preserv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ENRONONLINE, LLC</w:t>
        <w:tab/>
        <w:tab/>
        <w:tab/>
        <w:tab/>
        <w:tab/>
        <w:tab/>
        <w:t>TRADESPARK, L.P.</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 ______________________________</w:t>
        <w:tab/>
        <w:tab/>
        <w:tab/>
        <w:t>By: 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 _____________________________</w:t>
        <w:tab/>
        <w:tab/>
        <w:tab/>
        <w:t>Title: _____________________________</w:t>
      </w:r>
    </w:p>
    <w:p>
      <w:pPr>
        <w:pStyle w:val="Normal"/>
        <w:widowControl/>
        <w:jc w:val="both"/>
        <w:rPr>
          <w:sz w:val="22"/>
        </w:rPr>
      </w:pPr>
      <w:r>
        <w:rPr>
          <w:sz w:val="22"/>
        </w:rPr>
      </w:r>
    </w:p>
    <w:p>
      <w:pPr>
        <w:pStyle w:val="Normal"/>
        <w:widowControl/>
        <w:jc w:val="both"/>
        <w:rPr>
          <w:sz w:val="22"/>
        </w:rPr>
      </w:pPr>
      <w:r>
        <w:rPr>
          <w:sz w:val="22"/>
        </w:rPr>
        <w:t>Date: _____________________________</w:t>
        <w:tab/>
        <w:tab/>
        <w:tab/>
        <w:t>Date: _____________________________</w:t>
      </w:r>
    </w:p>
    <w:p>
      <w:pPr>
        <w:pStyle w:val="Normal"/>
        <w:widowContro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8">
              <wp:simplePos x="0" y="0"/>
              <wp:positionH relativeFrom="page">
                <wp:posOffset>934085</wp:posOffset>
              </wp:positionH>
              <wp:positionV relativeFrom="paragraph">
                <wp:posOffset>17145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1.35pt;mso-position-vertical-relative:text;margin-left:73.55pt;mso-position-horizontal-relative:page">
              <v:fill opacity="0f"/>
              <v:textbox inset="0in,0in,0in,0in">
                <w:txbxContent>
                  <w:p>
                    <w:pPr>
                      <w:pStyle w:val="Normal"/>
                      <w:rPr>
                        <w:sz w:val="12"/>
                      </w:rPr>
                    </w:pPr>
                    <w:r>
                      <w:rPr>
                        <w:sz w:val="12"/>
                      </w:rPr>
                    </w:r>
                  </w:p>
                </w:txbxContent>
              </v:textbox>
              <w10:wrap type="topAndBottom"/>
            </v:rect>
          </w:pict>
        </mc:Fallback>
      </mc:AlternateContent>
    </w:r>
  </w:p>
  <w:p>
    <w:pPr>
      <w:pStyle w:val="Normal"/>
      <w:rPr/>
    </w:pPr>
    <w:r>
      <w:rPr/>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/mnt/main-storage/datasets/enron-docs/doc/tradespark_beta__5_23_01_.doc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/mnt/main-storage/datasets/enron-docs/doc/tradespark_beta__5_23_01_.doc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2001-05-23T19:42:00Z</dcterms:created>
  <dc:creator>mtaylo1</dc:creator>
  <dc:description/>
  <dc:language>en-CA</dc:language>
  <cp:lastModifiedBy>tjones</cp:lastModifiedBy>
  <cp:lastPrinted>2001-05-23T17:18:00Z</cp:lastPrinted>
  <dcterms:modified xsi:type="dcterms:W3CDTF">2001-05-23T19:49:00Z</dcterms:modified>
  <cp:revision>5</cp:revision>
  <dc:subject/>
  <dc:title/>
</cp:coreProperties>
</file>