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rPr/>
      </w:pPr>
      <w:r>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ind w:firstLine="720" w:start="2880" w:end="0"/>
        <w:rPr>
          <w:rFonts w:ascii="Times New Roman" w:hAnsi="Times New Roman" w:cs="Times New Roman"/>
          <w:sz w:val="22"/>
        </w:rPr>
      </w:pPr>
      <w:r>
        <w:rPr>
          <w:rFonts w:cs="Times New Roman" w:ascii="Times New Roman" w:hAnsi="Times New Roman"/>
          <w:sz w:val="22"/>
        </w:rPr>
        <w:t>May ______, 2001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t>[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3600" w:leader="none"/>
        </w:tabs>
        <w:rPr>
          <w:rFonts w:ascii="Times New Roman" w:hAnsi="Times New Roman" w:cs="Times New Roman"/>
          <w:sz w:val="22"/>
        </w:rPr>
      </w:pPr>
      <w:r>
        <w:rPr>
          <w:rFonts w:cs="Times New Roman" w:ascii="Times New Roman" w:hAnsi="Times New Roman"/>
          <w:sz w:val="22"/>
        </w:rPr>
        <w:t>Attn.:</w:t>
      </w:r>
    </w:p>
    <w:p>
      <w:pPr>
        <w:pStyle w:val="Normal"/>
        <w:rPr>
          <w:rFonts w:ascii="Times New Roman" w:hAnsi="Times New Roman" w:cs="Times New Roman"/>
          <w:sz w:val="22"/>
        </w:rPr>
      </w:pPr>
      <w:r>
        <w:rPr>
          <w:rFonts w:cs="Times New Roman" w:ascii="Times New Roman" w:hAnsi="Times New Roman"/>
          <w:sz w:val="22"/>
        </w:rPr>
      </w:r>
    </w:p>
    <w:p>
      <w:pPr>
        <w:pStyle w:val="Normal"/>
        <w:ind w:hanging="720" w:start="1440" w:end="0"/>
        <w:rPr>
          <w:rFonts w:ascii="Times New Roman" w:hAnsi="Times New Roman" w:cs="Times New Roman"/>
          <w:b/>
          <w:sz w:val="22"/>
        </w:rPr>
      </w:pPr>
      <w:r>
        <w:rPr>
          <w:rFonts w:cs="Times New Roman" w:ascii="Times New Roman" w:hAnsi="Times New Roman"/>
          <w:b/>
          <w:sz w:val="22"/>
        </w:rPr>
        <w:t>Re:</w:t>
        <w:tab/>
        <w:t>Confidentiality Agreement between Enron North America Corp. and [___________________________________________________]</w:t>
      </w:r>
    </w:p>
    <w:p>
      <w:pPr>
        <w:pStyle w:val="Normal"/>
        <w:ind w:hanging="720" w:start="1440" w:end="0"/>
        <w:rPr>
          <w:rFonts w:ascii="Times New Roman" w:hAnsi="Times New Roman" w:cs="Times New Roman"/>
          <w:b/>
          <w:sz w:val="22"/>
        </w:rPr>
      </w:pPr>
      <w:r>
        <w:rPr>
          <w:rFonts w:cs="Times New Roman" w:ascii="Times New Roman" w:hAnsi="Times New Roman"/>
          <w:b/>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(“ENA” or the "Protected Party") is prepared to furnish [_____________________________________________] (“*” or the "Receiving Party") with certain information which is either confidential, proprietary or otherwise not generally available to the public in connection with ENA and enovate’s business.  This information is made available to * because of *’s involvement with the commercial activites of enovate, an affiliate of ENA (“the Work”).</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Receiving Party such information, Receiving Party agree as follows:</w:t>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From the date of this agreement (the "Agreement") until October 4, 2004, Receiving Party shall use the Confidential Information (as defined in Section 4) solely in connection with the Work, and the Receiving Party shall not disclose the Confidential Information to any person.  Except as may be required by applicable law, without the prior written consent of the Protected Party, Receiving Party will not disclose to any person either the fact that the Confidential Information has been made available to Receiving Party. Receiving Party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Receiving Party is requested or required by oral question, interrogatories, requests for information or documents, subpoena, civil investigative demand or similar process to disclose any Confidential Information, Receiving Party will promptly notify the Protected Party of such request or requirement so that the Protected Party may seek an appropriate protective order or waiver in compliance with provisions of this Agreement.  If, in the absence of a protective order or the receipt of a waiver hereunder, Receiving Party is, in the written opinion of Receiving Party's counsel addressed to the Protected Party, compelled to disclose the Confidential Information or else stand liable for contempt or suffer other censure or significant penalty, Receiving Party may disclose only such of the Confidential Information to the party compelling disclosure as is required by law.  Receiving Party shall not be liable for the disclosure of Confidential Information pursuant to the preceding sentence unless such disclosure was caused by Receiving Party or its Representatives and not otherwise permitted by this Agreement.  Receiving 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(whether written, oral or computer-generated) that is furnished to Receiving Party or its Representatives by the Protected Party, which is either confidential, proprietary or otherwise not generally available to the public.  Confidential Information includes, but is not limited to, business strategies, transaction structures, and other business methods. Any information furnished to Receiving Party by a director, officer, employee, agent or representative of the Protected Party or its affiliate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Receiving Party, (b) information that was already in Receiving Party's files on a nonconfidential basis prior to being furnished to Receiving Party by the Protected Party or (c) information that becomes available to Receiving Party on a nonconfidential basis from a source other than the Protected Party if such source was not subject to any prohibition against transmitting the information to Receiving Party.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or studies prepared by the Receiving Party, will be returned to the Protected Party immediately upon the Protected Party’s request, and no copies shall be retained by Receiving Party or its Representatives.  That portion of the Confidential Information that may be found in analyses, compilations, or studies prepared by the Receiving Party, oral Confidential Information and written Confidential Information not so requested or returned will be held by Receiving 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Receiving Party understands that the Protected Party will endeavor to include in the information it furnishes Receiving Party materials that it believes to be reliable and relevant for the purpose of Receiving Party's evaluation, but Receiving Party acknowledges that the Protected Party does not make any representation or warranty as to the accuracy or completeness of any information that is so provided, and neither the Protected Party nor any Representative of the Protected Party shall have any liability to Receiving Party or its Representatives resulting from the use of such information by Receiving Party or its Representatives.  For the purposes of this Section 4, "information" is deemed to include all information furnished by the Protected Party to Receiving Party or its Representatives, whether or not Confidential Information as defined by Section 3.</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Receiving Party or its Representatives, and the Protected Party shall be entitled to specific performance and injunctive relief as remedies upon proof of any such breach.  Such remedies shall not be deemed to be the exclusive remedies for a breach of this Agreement by Receiving Party or any of its Representatives but shall be in addition to all other remedies available at law or in equity to the Protected Party.  Receiving Party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The arbitration shall be administered by the American Arbitration Association ("AAA")</w:t>
      </w:r>
      <w:r>
        <w:rPr>
          <w:sz w:val="22"/>
        </w:rPr>
        <w:t xml:space="preserve">.  </w:t>
      </w:r>
      <w:r>
        <w:rPr>
          <w:rFonts w:cs="Times New Roman" w:ascii="Times New Roman" w:hAnsi="Times New Roman"/>
          <w:sz w:val="22"/>
        </w:rPr>
        <w:t xml:space="preserve">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360" w:end="0"/>
        <w:jc w:val="both"/>
        <w:rPr>
          <w:rFonts w:ascii="Times New Roman" w:hAnsi="Times New Roman" w:cs="Times New Roman"/>
          <w:caps/>
          <w:sz w:val="22"/>
        </w:rPr>
      </w:pPr>
      <w:r>
        <w:rPr>
          <w:rFonts w:cs="Times New Roman" w:ascii="Times New Roman" w:hAnsi="Times New Roman"/>
          <w:caps/>
          <w:sz w:val="22"/>
        </w:rPr>
        <w:t>This Agreement shall be governed and construed in accordance with the laws of the State of Texas without regard to the principles of conflicts of laws thereof.</w:t>
      </w:r>
    </w:p>
    <w:p>
      <w:pPr>
        <w:pStyle w:val="Normal"/>
        <w:ind w:start="360" w:end="0"/>
        <w:jc w:val="both"/>
        <w:rPr>
          <w:rFonts w:ascii="Times New Roman" w:hAnsi="Times New Roman" w:cs="Times New Roman"/>
          <w:caps/>
          <w:sz w:val="22"/>
        </w:rPr>
      </w:pPr>
      <w:r>
        <w:rPr>
          <w:rFonts w:cs="Times New Roman" w:ascii="Times New Roman" w:hAnsi="Times New Roman"/>
          <w:caps/>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 w:val="left" w:pos="3690" w:leader="none"/>
        </w:tabs>
        <w:rPr/>
      </w:pPr>
      <w:r>
        <w:rPr/>
      </w:r>
    </w:p>
    <w:p>
      <w:pPr>
        <w:pStyle w:val="Normal"/>
        <w:tabs>
          <w:tab w:val="clear" w:pos="720"/>
          <w:tab w:val="left" w:pos="2880" w:leader="none"/>
          <w:tab w:val="left" w:pos="3690" w:leader="none"/>
        </w:tabs>
        <w:rPr/>
      </w:pPr>
      <w:r>
        <w:rPr/>
      </w:r>
    </w:p>
    <w:p>
      <w:pPr>
        <w:pStyle w:val="Normal"/>
        <w:tabs>
          <w:tab w:val="clear" w:pos="720"/>
          <w:tab w:val="left" w:pos="2880" w:leader="none"/>
          <w:tab w:val="left" w:pos="3690" w:leader="none"/>
        </w:tabs>
        <w:rPr/>
      </w:pPr>
      <w:r>
        <w:rPr/>
      </w:r>
    </w:p>
    <w:sectPr>
      <w:headerReference w:type="default" r:id="rId2"/>
      <w:headerReference w:type="first" r:id="rId3"/>
      <w:footerReference w:type="default" r:id="rId4"/>
      <w:footerReference w:type="first" r:id="rId5"/>
      <w:type w:val="nextPage"/>
      <w:pgSz w:w="12240" w:h="15840"/>
      <w:pgMar w:left="1152" w:right="1152" w:gutter="0" w:header="720" w:top="1152"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keepNext w:val="true"/>
      <w:numPr>
        <w:ilvl w:val="0"/>
        <w:numId w:val="1"/>
      </w:numPr>
      <w:jc w:val="both"/>
      <w:outlineLvl w:val="0"/>
    </w:pPr>
    <w:rPr>
      <w:rFonts w:ascii="Times New Roman" w:hAnsi="Times New Roman" w:cs="Times New Roman"/>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b/>
      <w:sz w:val="20"/>
    </w:rPr>
  </w:style>
  <w:style w:type="paragraph" w:styleId="BodyTextIndent2">
    <w:name w:val="Body Text Indent 2"/>
    <w:basedOn w:val="Normal"/>
    <w:qFormat/>
    <w:pPr>
      <w:ind w:firstLine="720" w:start="7920" w:end="0"/>
    </w:pPr>
    <w:rPr>
      <w:rFonts w:ascii="Times New Roman" w:hAnsi="Times New Roman" w:cs="Times New Roman"/>
      <w:i/>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2001-05-03T16:07:00Z</dcterms:created>
  <dc:creator>m v</dc:creator>
  <dc:description/>
  <dc:language>en-CA</dc:language>
  <cp:lastModifiedBy>Kathleen Carnahan</cp:lastModifiedBy>
  <cp:lastPrinted>2001-02-15T11:48:00Z</cp:lastPrinted>
  <dcterms:modified xsi:type="dcterms:W3CDTF">2001-05-03T16:07:00Z</dcterms:modified>
  <cp:revision>2</cp:revision>
  <dc:subject/>
  <dc:title>10 Oct 97</dc:title>
</cp:coreProperties>
</file>