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rFonts w:ascii="Times New Roman" w:hAnsi="Times New Roman" w:cs="Times New Roman"/>
          <w:sz w:val="22"/>
        </w:rPr>
      </w:pPr>
      <w:r>
        <w:rPr>
          <w:rFonts w:cs="Times New Roman" w:ascii="Times New Roman" w:hAnsi="Times New Roman"/>
          <w:sz w:val="22"/>
        </w:rPr>
        <w:t>February ______,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and [___________________________________________________]</w:t>
      </w:r>
    </w:p>
    <w:p>
      <w:pPr>
        <w:pStyle w:val="Normal"/>
        <w:ind w:hanging="720" w:start="1440" w:end="0"/>
        <w:rPr>
          <w:rFonts w:ascii="Times New Roman" w:hAnsi="Times New Roman" w:cs="Times New Roman"/>
          <w:b/>
          <w:sz w:val="22"/>
        </w:rPr>
      </w:pPr>
      <w:r>
        <w:rPr>
          <w:rFonts w:cs="Times New Roman" w:ascii="Times New Roman" w:hAnsi="Times New Roman"/>
          <w:b/>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 or the "Protected Party") is prepared to furnish [_____________________________________________] (“*” or the "Receiving Party") with certain information which is either confidential, proprietary or otherwise not generally available to the public in connection with ENA and enovate’s business.  This information is made available to * because of *’s involvement with the commercial activites of enovate, an affiliate of ENA (“the Work”).</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Receiving Party such information, Receiving Party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Receiving Party shall use the Confidential Information (as defined in Section 4) solely in connection with the Work, and the Receiving Party shall not disclose the Confidential Information to any person.  Except as may be required by applicable law, without the prior written consent of the Protected Party, Receiving Party will not disclose to any person either the fact that the Confidential Information has been made available to Receiving Party. Receiving Party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Receiving Party is requested or required by oral question, interrogatories, requests for information or documents, subpoena, civil investigative demand or similar process to disclose any Confidential Information, Receiving Party will promptly notify the Protected Party of such request or requirement so that the Protected Party may seek an appropriate protective order or waiver in compliance with provisions of this Agreement.  If, in the absence of a protective order or the receipt of a waiver hereunder, Receiving Party is, in the written opinion of Receiving Party's counsel addressed to the Protected Party, compelled to disclose the Confidential Information or else stand liable for contempt or suffer other censure or significant penalty, Receiving Party may disclose only such of the Confidential Information to the party compelling disclosure as is required by law.  Receiving Party shall not be liable for the disclosure of Confidential Information pursuant to the preceding sentence unless such disclosure was caused by Receiving Party or its Representatives and not otherwise permitted by this Agreement.  Receiving 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 or computer-generated) that is furnished to Receiving Party or its Representatives by the Protected Party, which is either confidential, proprietary or otherwise not generally available to the public.  Confidential Information includes, but is not limited to, business strategies, transaction structures, and other business methods. Any information furnished to Receiving Party  by a director, officer, employee, agent or representative of the Protected Party or its affiliate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Receiving Party, (b) information that was already in Receiving Party's files on a nonconfidential basis prior to being furnished to Receiving Party by the Protected Party or (c) information that becomes available to Receiving Party on a nonconfidential basis from a source other than the Protected Party if such source was not subject to any prohibition against transmitting the information to Receiving 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or studies prepared by the Receiving Party, will be returned to the Protected Party immediately upon the Protected Party’s request, and no copies shall be retained by Receiving Party or its Representatives.  That portion of the Confidential Information that may be found in analyses, compilations, or studies prepared by the Receiving Party, oral Confidential Information and written Confidential Information not so requested or returned will be held by Receiving 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Receiving Party understands that the Protected Party will endeavor to include in the information it furnishes Receiving Party materials that it believes to be reliable and relevant for the purpose of Receiving Party's evaluation, but Receiving Party acknowledges that the Protected Party does not make any representation or warranty as to the accuracy or completeness of any information that is so provided, and neither the Protected Party nor any Representative of the Protected Party shall have any liability to Receiving Party or its Representatives resulting from the use of such information by Receiving Party or its Representatives.  For the purposes of this Section 4, "information" is deemed to include all information furnished by the Protected Party to Receiving Party or its Representatives, whether or not Confidential Information as defined by Section 3.</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Receiving Party or its Representatives, and the Protected Party shall be entitled to specific performance and injunctive relief as remedies upon proof of any such breach.  Such remedies shall not be deemed to be the exclusive remedies for a breach of this Agreement by Receiving Party or any of its Representatives but shall be in addition to all other remedies available at law or in equity to the Protected Party.  Receiving Party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The arbitration shall be administered by the American Arbitration Association </w:t>
      </w:r>
      <w:r>
        <w:rPr>
          <w:sz w:val="22"/>
        </w:rPr>
        <w:t xml:space="preserve">("AAA").  </w:t>
      </w:r>
      <w:r>
        <w:rPr>
          <w:rFonts w:cs="Times New Roman" w:ascii="Times New Roman" w:hAnsi="Times New Roman"/>
          <w:sz w:val="22"/>
        </w:rPr>
        <w:t xml:space="preserve">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caps/>
          <w:sz w:val="22"/>
        </w:rPr>
      </w:pPr>
      <w:r>
        <w:rPr>
          <w:rFonts w:cs="Times New Roman" w:ascii="Times New Roman" w:hAnsi="Times New Roman"/>
          <w:caps/>
          <w:sz w:val="22"/>
        </w:rPr>
        <w:t>This Agreement shall be governed and construed in accordance with the laws of the State of Texas without regard to the principles of conflicts of laws thereof.</w:t>
      </w:r>
    </w:p>
    <w:p>
      <w:pPr>
        <w:pStyle w:val="Normal"/>
        <w:ind w:start="360" w:end="0"/>
        <w:jc w:val="both"/>
        <w:rPr>
          <w:rFonts w:ascii="Times New Roman" w:hAnsi="Times New Roman" w:cs="Times New Roman"/>
          <w:caps/>
          <w:sz w:val="22"/>
        </w:rPr>
      </w:pPr>
      <w:r>
        <w:rPr>
          <w:rFonts w:cs="Times New Roman" w:ascii="Times New Roman" w:hAnsi="Times New Roman"/>
          <w:caps/>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2001-04-20T18:34:00Z</dcterms:created>
  <dc:creator>m v</dc:creator>
  <dc:description/>
  <dc:language>en-CA</dc:language>
  <cp:lastModifiedBy>kmann</cp:lastModifiedBy>
  <cp:lastPrinted>2001-02-15T11:48:00Z</cp:lastPrinted>
  <dcterms:modified xsi:type="dcterms:W3CDTF">2001-04-20T18:34:00Z</dcterms:modified>
  <cp:revision>2</cp:revision>
  <dc:subject/>
  <dc:title>10 Oct 97</dc:title>
</cp:coreProperties>
</file>