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Northeast – Mid Atlantic Region</w:t>
      </w:r>
    </w:p>
    <w:p>
      <w:pPr>
        <w:pStyle w:val="Subtitle"/>
        <w:rPr/>
      </w:pPr>
      <w:r>
        <w:rPr/>
        <w:t>Top 10 Y2K Objectives</w:t>
      </w:r>
    </w:p>
    <w:p>
      <w:pPr>
        <w:pStyle w:val="Subtitle"/>
        <w:jc w:val="start"/>
        <w:rPr/>
      </w:pPr>
      <w:r>
        <w:rPr/>
      </w:r>
    </w:p>
    <w:p>
      <w:pPr>
        <w:pStyle w:val="Subtitle"/>
        <w:jc w:val="start"/>
        <w:rPr/>
      </w:pPr>
      <w:r>
        <w:rPr/>
      </w:r>
    </w:p>
    <w:p>
      <w:pPr>
        <w:pStyle w:val="Subtitle"/>
        <w:jc w:val="start"/>
        <w:rPr/>
      </w:pPr>
      <w:r>
        <w:rPr/>
        <w:t xml:space="preserve">Members: </w:t>
      </w:r>
      <w:r>
        <w:rPr>
          <w:b w:val="false"/>
        </w:rPr>
        <w:t>Steve Montovano, Sue Nord, Dan Allegretti, Howard Fromer, Frank Rishe, Susan Covino, Lisa Yoho, Becky Merola (Mass.), Sonny Sowell.</w:t>
      </w:r>
    </w:p>
    <w:p>
      <w:pPr>
        <w:pStyle w:val="Subtitle"/>
        <w:rPr>
          <w:b w:val="false"/>
        </w:rPr>
      </w:pPr>
      <w:r>
        <w:rPr>
          <w:b w:val="false"/>
        </w:rPr>
      </w:r>
    </w:p>
    <w:p>
      <w:pPr>
        <w:pStyle w:val="Normal"/>
        <w:numPr>
          <w:ilvl w:val="0"/>
          <w:numId w:val="2"/>
        </w:numPr>
        <w:rPr>
          <w:b/>
          <w:sz w:val="24"/>
        </w:rPr>
      </w:pPr>
      <w:r>
        <w:rPr>
          <w:b/>
          <w:sz w:val="24"/>
        </w:rPr>
        <w:t>Risk Management:</w:t>
      </w:r>
    </w:p>
    <w:p>
      <w:pPr>
        <w:pStyle w:val="BodyTextIndent"/>
        <w:rPr/>
      </w:pPr>
      <w:r>
        <w:rPr/>
        <w:t>NEPOOL Market Reform</w:t>
      </w:r>
      <w:r>
        <w:rPr>
          <w:b w:val="false"/>
        </w:rPr>
        <w:t xml:space="preserve"> - Our business objective is to move the curve down to manage the United Illuminating position for ENA, as well as to create additional market opportunities.</w:t>
      </w:r>
    </w:p>
    <w:p>
      <w:pPr>
        <w:pStyle w:val="Normal"/>
        <w:ind w:start="1440" w:end="0"/>
        <w:rPr>
          <w:b/>
          <w:sz w:val="24"/>
        </w:rPr>
      </w:pPr>
      <w:r>
        <w:rPr>
          <w:b/>
          <w:sz w:val="24"/>
        </w:rPr>
      </w:r>
    </w:p>
    <w:p>
      <w:pPr>
        <w:pStyle w:val="Heading1"/>
        <w:rPr/>
      </w:pPr>
      <w:r>
        <w:rPr>
          <w:b/>
        </w:rPr>
        <w:t>NYISO Support</w:t>
      </w:r>
      <w:r>
        <w:rPr/>
        <w:t xml:space="preserve"> – The NYISO announced recently that they would start up on November 18, 1999.  Our business objective will be to participate on key committees to not only create business opportunities for ENA, but to also protect the assets and provide opportunities for ECP.    </w:t>
      </w:r>
    </w:p>
    <w:p>
      <w:pPr>
        <w:pStyle w:val="Normal"/>
        <w:ind w:start="1440" w:end="0"/>
        <w:rPr>
          <w:sz w:val="24"/>
        </w:rPr>
      </w:pPr>
      <w:r>
        <w:rPr>
          <w:sz w:val="24"/>
        </w:rPr>
      </w:r>
    </w:p>
    <w:p>
      <w:pPr>
        <w:pStyle w:val="Normal"/>
        <w:ind w:start="1440" w:end="0"/>
        <w:rPr>
          <w:b/>
          <w:sz w:val="24"/>
        </w:rPr>
      </w:pPr>
      <w:r>
        <w:rPr>
          <w:b/>
          <w:sz w:val="24"/>
        </w:rPr>
      </w:r>
    </w:p>
    <w:p>
      <w:pPr>
        <w:pStyle w:val="Normal"/>
        <w:numPr>
          <w:ilvl w:val="0"/>
          <w:numId w:val="2"/>
        </w:numPr>
        <w:rPr>
          <w:sz w:val="24"/>
        </w:rPr>
      </w:pPr>
      <w:r>
        <w:rPr>
          <w:b/>
          <w:sz w:val="24"/>
        </w:rPr>
        <w:t>Support Developing Transactions:</w:t>
      </w:r>
    </w:p>
    <w:p>
      <w:pPr>
        <w:pStyle w:val="Heading1"/>
        <w:rPr/>
      </w:pPr>
      <w:r>
        <w:rPr>
          <w:b/>
        </w:rPr>
        <w:t>PSE&amp;G Capacity Deal</w:t>
      </w:r>
      <w:r>
        <w:rPr/>
        <w:t xml:space="preserve"> – This a business opportunity that we brought to ENA, which was developed in negotiations with PSE&amp;G in their Gas Restructuring docket.  Our business objective is finalize negotiations with PSE&amp;G in which ENA will manage and be responsible for 20% of PSE&amp;G’s Basic Gas Supply Service (BGSS), in return for an assignment of 20% of their pipeline capacity contracts.  At 20%, the PSE&amp;G deal would be approximately 60% of the existing Brooklyn Union (BU) deal.</w:t>
      </w:r>
    </w:p>
    <w:p>
      <w:pPr>
        <w:pStyle w:val="Heading1"/>
        <w:rPr/>
      </w:pPr>
      <w:r>
        <w:rPr/>
      </w:r>
    </w:p>
    <w:p>
      <w:pPr>
        <w:pStyle w:val="Heading1"/>
        <w:rPr/>
      </w:pPr>
      <w:r>
        <w:rPr>
          <w:b/>
        </w:rPr>
        <w:t>Project Waterfall</w:t>
      </w:r>
      <w:r>
        <w:rPr/>
        <w:t xml:space="preserve"> – GA is providing ENA with support on this project which includes a transmission upgrade from Connecticut to Long Island, as well the siting of a merchant plant in Connecticut.</w:t>
      </w:r>
    </w:p>
    <w:p>
      <w:pPr>
        <w:pStyle w:val="Heading1"/>
        <w:rPr/>
      </w:pPr>
      <w:r>
        <w:rPr/>
      </w:r>
    </w:p>
    <w:p>
      <w:pPr>
        <w:pStyle w:val="Heading1"/>
        <w:rPr/>
      </w:pPr>
      <w:r>
        <w:rPr>
          <w:b/>
        </w:rPr>
        <w:t>United Illuminating (UI)</w:t>
      </w:r>
      <w:r>
        <w:rPr/>
        <w:t xml:space="preserve"> – Phase II – This phase of the UI</w:t>
        <w:tab/>
        <w:t>project includes providing regulatory support in the development of a merchant fuel cell farm in Connecticut using state funding.</w:t>
      </w:r>
    </w:p>
    <w:p>
      <w:pPr>
        <w:pStyle w:val="Normal"/>
        <w:rPr/>
      </w:pPr>
      <w:r>
        <w:rPr/>
      </w:r>
    </w:p>
    <w:p>
      <w:pPr>
        <w:pStyle w:val="Heading1"/>
        <w:rPr/>
      </w:pPr>
      <w:r>
        <w:rPr>
          <w:b/>
        </w:rPr>
        <w:t>New Jersey Natural Gas (NJN) Asset Management Deal</w:t>
      </w:r>
      <w:r>
        <w:rPr/>
        <w:t xml:space="preserve"> – This is another</w:t>
      </w:r>
    </w:p>
    <w:p>
      <w:pPr>
        <w:pStyle w:val="Normal"/>
        <w:ind w:start="1440" w:end="0"/>
        <w:rPr>
          <w:sz w:val="24"/>
        </w:rPr>
      </w:pPr>
      <w:r>
        <w:rPr>
          <w:sz w:val="24"/>
        </w:rPr>
        <w:t xml:space="preserve">business opportunity that we delivered to ENA, similar to the PSE&amp;G deal above.  Our goal in these negotiations is to negotiate a full requirement asset management deal, similar to the BU deal. </w:t>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numPr>
          <w:ilvl w:val="0"/>
          <w:numId w:val="2"/>
        </w:numPr>
        <w:rPr>
          <w:b/>
          <w:sz w:val="24"/>
        </w:rPr>
      </w:pPr>
      <w:r>
        <w:rPr>
          <w:b/>
          <w:sz w:val="24"/>
        </w:rPr>
        <w:t>Opening and Enhancing Markets:</w:t>
      </w:r>
    </w:p>
    <w:p>
      <w:pPr>
        <w:pStyle w:val="BodyTextIndent2"/>
        <w:rPr/>
      </w:pPr>
      <w:r>
        <w:rPr>
          <w:b/>
        </w:rPr>
        <w:t>Billing &amp; Metering (B&amp;M) Proceedings</w:t>
      </w:r>
      <w:r>
        <w:rPr/>
        <w:t xml:space="preserve"> – There will be numerous B&amp;M proceedings in our region in Y2K, (NJ, Mass., NY, Md.) which are the results of our negotiations opening these markets.  The goal will be to get favorable regulatory decisions which provide for appropriate rate credits and/or settlements, which provide EESI with an opportunity to, reduced their B&amp;M costs.  Many of these proceedings will also address other phase II issues concerning business rules, enrollment etc.  </w:t>
      </w:r>
    </w:p>
    <w:p>
      <w:pPr>
        <w:pStyle w:val="Normal"/>
        <w:ind w:start="1440" w:end="0"/>
        <w:rPr>
          <w:sz w:val="24"/>
        </w:rPr>
      </w:pPr>
      <w:r>
        <w:rPr>
          <w:sz w:val="24"/>
        </w:rPr>
      </w:r>
    </w:p>
    <w:p>
      <w:pPr>
        <w:pStyle w:val="Normal"/>
        <w:ind w:start="1440" w:end="0"/>
        <w:rPr/>
      </w:pPr>
      <w:r>
        <w:rPr>
          <w:b/>
          <w:sz w:val="24"/>
        </w:rPr>
        <w:t>Default Service Pricing (DSP)</w:t>
      </w:r>
      <w:r>
        <w:rPr>
          <w:sz w:val="24"/>
        </w:rPr>
        <w:t xml:space="preserve"> – We will have the opportunity to engage in DSP discussions in Mass., which are currently ongoing, and in Md., NY and Pa. (Duquesne), which will be starting up in Y2K.  Our goal will be to create business opportunities for ENA as well as EESI in structuring the DSP mechanisms.</w:t>
      </w:r>
    </w:p>
    <w:p>
      <w:pPr>
        <w:pStyle w:val="Normal"/>
        <w:ind w:start="1440" w:end="0"/>
        <w:rPr>
          <w:sz w:val="24"/>
        </w:rPr>
      </w:pPr>
      <w:r>
        <w:rPr>
          <w:sz w:val="24"/>
        </w:rPr>
      </w:r>
    </w:p>
    <w:p>
      <w:pPr>
        <w:pStyle w:val="Normal"/>
        <w:ind w:start="1440" w:end="0"/>
        <w:rPr/>
      </w:pPr>
      <w:r>
        <w:rPr>
          <w:b/>
          <w:sz w:val="24"/>
        </w:rPr>
        <w:t>Duquesne Proceeding</w:t>
      </w:r>
      <w:r>
        <w:rPr>
          <w:sz w:val="24"/>
        </w:rPr>
        <w:t xml:space="preserve">  (Pa.) – This proceeding will review and determine CTC recovery as well as default service structuring on the Duquesne system.  Our goal in this proceeding will be to end the CTC recovery prior to the original date set forth in the Pa. Order, as well as the previous goals mentioned on DSP.</w:t>
      </w:r>
    </w:p>
    <w:p>
      <w:pPr>
        <w:pStyle w:val="Normal"/>
        <w:ind w:start="1440" w:end="0"/>
        <w:rPr>
          <w:sz w:val="24"/>
        </w:rPr>
      </w:pPr>
      <w:r>
        <w:rPr>
          <w:sz w:val="24"/>
        </w:rPr>
      </w:r>
    </w:p>
    <w:p>
      <w:pPr>
        <w:pStyle w:val="Normal"/>
        <w:ind w:start="1440" w:end="0"/>
        <w:rPr/>
      </w:pPr>
      <w:r>
        <w:rPr>
          <w:b/>
          <w:sz w:val="24"/>
        </w:rPr>
        <w:t xml:space="preserve">New York “End State” Proceeding </w:t>
      </w:r>
      <w:r>
        <w:rPr>
          <w:sz w:val="24"/>
        </w:rPr>
        <w:t xml:space="preserve">– The goal of this proceeding, which is being initiated by the NY PSC, is to fix the problems with the NY “competitive” market.  We have already begun discussions with key state officials concerning the issues, which need to be addressed.  This proceeding is very important in that it will be the only opportunity to address these issues prior to the expiration of the NY utility settlements.  Our goal will be to “right the wrongs” of the past and create business opportunities for EESI and ENA in the NY power market.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0" w:start="1440" w:end="0"/>
    </w:pPr>
    <w:rPr>
      <w:b/>
      <w:sz w:val="24"/>
    </w:rPr>
  </w:style>
  <w:style w:type="paragraph" w:styleId="BodyTextIndent2">
    <w:name w:val="Body Text Indent 2"/>
    <w:basedOn w:val="Normal"/>
    <w:qFormat/>
    <w:pPr>
      <w:ind w:hanging="0" w:start="144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1999-11-05T12:45:00Z</dcterms:created>
  <dc:creator>Steven Montovano</dc:creator>
  <dc:description/>
  <dc:language>en-CA</dc:language>
  <cp:lastModifiedBy>Steven Montovano</cp:lastModifiedBy>
  <cp:lastPrinted>1999-11-05T10:19:00Z</cp:lastPrinted>
  <dcterms:modified xsi:type="dcterms:W3CDTF">1999-11-05T14:16:00Z</dcterms:modified>
  <cp:revision>8</cp:revision>
  <dc:subject/>
  <dc:title>Northeast – Mid Atlantic Region</dc:title>
</cp:coreProperties>
</file>