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For each major commodity and price curve traded, and for all positions: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1</w:t>
        <w:tab/>
        <w:t>The amounts by which the mark-to-market value of the portfolio can change for small (or unit) changes in: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</w:r>
    </w:p>
    <w:p>
      <w:pPr>
        <w:pStyle w:val="Normal"/>
        <w:spacing w:lineRule="atLeast" w:line="240"/>
        <w:ind w:start="720" w:end="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·</w:t>
        <w:tab/>
        <w:t>market spot and forward prices/curves (first and second order);</w:t>
      </w:r>
    </w:p>
    <w:p>
      <w:pPr>
        <w:pStyle w:val="Normal"/>
        <w:spacing w:lineRule="atLeast" w:line="240"/>
        <w:ind w:start="720" w:end="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·</w:t>
        <w:tab/>
        <w:t>market spot and forward volatility;</w:t>
      </w:r>
    </w:p>
    <w:p>
      <w:pPr>
        <w:pStyle w:val="Normal"/>
        <w:spacing w:lineRule="atLeast" w:line="240"/>
        <w:ind w:start="720" w:end="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·</w:t>
        <w:tab/>
        <w:t>correlation (where appropriate);</w:t>
      </w:r>
    </w:p>
    <w:p>
      <w:pPr>
        <w:pStyle w:val="Normal"/>
        <w:spacing w:lineRule="atLeast" w:line="240"/>
        <w:ind w:start="720" w:end="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·</w:t>
        <w:tab/>
        <w:t>market interest rates</w:t>
      </w:r>
    </w:p>
    <w:p>
      <w:pPr>
        <w:pStyle w:val="Normal"/>
        <w:spacing w:lineRule="atLeast" w:line="240"/>
        <w:ind w:start="720" w:end="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·</w:t>
        <w:tab/>
        <w:t>spot foreign exchange rates (where appropriate)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 xml:space="preserve">as a term structure (i.e. by time "bucket") and on a net aggregate basis. 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2</w:t>
        <w:tab/>
        <w:t>For portfolios with option or non linear risks, a report showing the concentration of sensitivities (delta, gamma, vega) according to expiry date and strike price ("strike concentration").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8"/>
          <w:lang w:eastAsia="en-US"/>
        </w:rPr>
      </w:pPr>
      <w:r>
        <w:rPr>
          <w:rFonts w:cs="Arial" w:ascii="Arial" w:hAnsi="Arial"/>
          <w:b/>
          <w:color w:val="000000"/>
          <w:sz w:val="18"/>
          <w:lang w:eastAsia="en-US"/>
        </w:rPr>
        <w:t>3</w:t>
        <w:tab/>
        <w:t>The value-at-risk for the portfolios, according to Enron's approved mehodology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2000-06-15T19:30:00Z</dcterms:created>
  <dc:creator>dport</dc:creator>
  <dc:description/>
  <dc:language>en-CA</dc:language>
  <cp:lastModifiedBy>dport</cp:lastModifiedBy>
  <dcterms:modified xsi:type="dcterms:W3CDTF">2000-06-15T19:30:00Z</dcterms:modified>
  <cp:revision>1</cp:revision>
  <dc:subject/>
  <dc:title>For each major commodity and price curve traded, and for all positions:</dc:title>
</cp:coreProperties>
</file>