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4410" cy="987425"/>
                    </a:xfrm>
                    <a:prstGeom prst="rect">
                      <a:avLst/>
                    </a:prstGeom>
                    <a:noFill/>
                  </pic:spPr>
                </pic:pic>
              </a:graphicData>
            </a:graphic>
          </wp:inline>
        </w:drawing>
      </w:r>
    </w:p>
    <w:p>
      <w:pPr>
        <w:pStyle w:val="Heading"/>
        <w:rPr>
          <w:b w:val="false"/>
        </w:rPr>
      </w:pPr>
      <w:r>
        <w:rPr>
          <w:b w:val="false"/>
        </w:rPr>
      </w:r>
    </w:p>
    <w:p>
      <w:pPr>
        <w:pStyle w:val="Heading1"/>
        <w:pBdr>
          <w:top w:val="single" w:sz="18" w:space="1" w:color="000000"/>
        </w:pBdr>
        <w:spacing w:before="0" w:after="240"/>
        <w:ind w:hanging="0" w:start="0"/>
        <w:rPr/>
      </w:pPr>
      <w:r>
        <w:rPr/>
        <w:t>Facsimile Cover Sheet</w:t>
      </w:r>
    </w:p>
    <w:tbl>
      <w:tblPr>
        <w:tblW w:w="7938" w:type="dxa"/>
        <w:jc w:val="start"/>
        <w:tblInd w:w="0" w:type="dxa"/>
        <w:tblLayout w:type="fixed"/>
        <w:tblCellMar>
          <w:top w:w="0" w:type="dxa"/>
          <w:start w:w="108" w:type="dxa"/>
          <w:bottom w:w="0" w:type="dxa"/>
          <w:end w:w="108" w:type="dxa"/>
        </w:tblCellMar>
      </w:tblPr>
      <w:tblGrid>
        <w:gridCol w:w="3168"/>
        <w:gridCol w:w="4770"/>
      </w:tblGrid>
      <w:tr>
        <w:trPr/>
        <w:tc>
          <w:tcPr>
            <w:tcW w:w="3168" w:type="dxa"/>
            <w:tcBorders/>
          </w:tcPr>
          <w:p>
            <w:pPr>
              <w:pStyle w:val="To"/>
              <w:jc w:val="end"/>
              <w:rPr>
                <w:b/>
              </w:rPr>
            </w:pPr>
            <w:r>
              <w:rPr>
                <w:b/>
              </w:rPr>
              <w:t>To:</w:t>
            </w:r>
          </w:p>
        </w:tc>
        <w:tc>
          <w:tcPr>
            <w:tcW w:w="4770" w:type="dxa"/>
            <w:tcBorders/>
          </w:tcPr>
          <w:p>
            <w:pPr>
              <w:pStyle w:val="To"/>
              <w:rPr/>
            </w:pPr>
            <w:bookmarkStart w:id="0" w:name="To"/>
            <w:bookmarkEnd w:id="0"/>
            <w:r>
              <w:rPr/>
              <w:t>Carolyne Peacock</w:t>
            </w:r>
          </w:p>
        </w:tc>
      </w:tr>
      <w:tr>
        <w:trPr/>
        <w:tc>
          <w:tcPr>
            <w:tcW w:w="3168" w:type="dxa"/>
            <w:tcBorders/>
          </w:tcPr>
          <w:p>
            <w:pPr>
              <w:pStyle w:val="Normal"/>
              <w:jc w:val="end"/>
              <w:rPr>
                <w:b/>
                <w:sz w:val="28"/>
              </w:rPr>
            </w:pPr>
            <w:r>
              <w:rPr>
                <w:b/>
                <w:sz w:val="28"/>
              </w:rPr>
              <w:t>Company:</w:t>
            </w:r>
          </w:p>
        </w:tc>
        <w:tc>
          <w:tcPr>
            <w:tcW w:w="4770" w:type="dxa"/>
            <w:tcBorders/>
          </w:tcPr>
          <w:p>
            <w:pPr>
              <w:pStyle w:val="ToCompany"/>
              <w:rPr/>
            </w:pPr>
            <w:bookmarkStart w:id="1" w:name="ToCompany"/>
            <w:bookmarkEnd w:id="1"/>
            <w:r>
              <w:rPr/>
              <w:t>Tokyo-Mitsubishi International plc</w:t>
            </w:r>
          </w:p>
        </w:tc>
      </w:tr>
      <w:tr>
        <w:trPr/>
        <w:tc>
          <w:tcPr>
            <w:tcW w:w="3168" w:type="dxa"/>
            <w:tcBorders/>
          </w:tcPr>
          <w:p>
            <w:pPr>
              <w:pStyle w:val="Normal"/>
              <w:jc w:val="end"/>
              <w:rPr>
                <w:b/>
                <w:sz w:val="28"/>
              </w:rPr>
            </w:pPr>
            <w:r>
              <w:rPr>
                <w:b/>
                <w:sz w:val="28"/>
              </w:rPr>
              <w:t>Phone:</w:t>
            </w:r>
          </w:p>
        </w:tc>
        <w:tc>
          <w:tcPr>
            <w:tcW w:w="4770" w:type="dxa"/>
            <w:tcBorders/>
          </w:tcPr>
          <w:p>
            <w:pPr>
              <w:pStyle w:val="ToPhone"/>
              <w:rPr/>
            </w:pPr>
            <w:bookmarkStart w:id="2" w:name="ToPhone"/>
            <w:bookmarkEnd w:id="2"/>
            <w:r>
              <w:rPr/>
              <w:t>011-44-171-577-2644</w:t>
            </w:r>
          </w:p>
        </w:tc>
      </w:tr>
      <w:tr>
        <w:trPr/>
        <w:tc>
          <w:tcPr>
            <w:tcW w:w="3168" w:type="dxa"/>
            <w:tcBorders/>
          </w:tcPr>
          <w:p>
            <w:pPr>
              <w:pStyle w:val="Normal"/>
              <w:jc w:val="end"/>
              <w:rPr>
                <w:b/>
                <w:sz w:val="28"/>
              </w:rPr>
            </w:pPr>
            <w:r>
              <w:rPr>
                <w:b/>
                <w:sz w:val="28"/>
              </w:rPr>
              <w:t>Fax:</w:t>
            </w:r>
          </w:p>
        </w:tc>
        <w:tc>
          <w:tcPr>
            <w:tcW w:w="4770" w:type="dxa"/>
            <w:tcBorders/>
          </w:tcPr>
          <w:p>
            <w:pPr>
              <w:pStyle w:val="ToFax"/>
              <w:rPr/>
            </w:pPr>
            <w:bookmarkStart w:id="3" w:name="ToFax"/>
            <w:bookmarkEnd w:id="3"/>
            <w:r>
              <w:rPr/>
              <w:t>011-44-171-577-2875</w:t>
            </w:r>
          </w:p>
        </w:tc>
      </w:tr>
      <w:tr>
        <w:trPr/>
        <w:tc>
          <w:tcPr>
            <w:tcW w:w="3168" w:type="dxa"/>
            <w:tcBorders/>
          </w:tcPr>
          <w:p>
            <w:pPr>
              <w:pStyle w:val="Normal"/>
              <w:spacing w:before="360" w:after="0"/>
              <w:jc w:val="end"/>
              <w:rPr>
                <w:b/>
                <w:sz w:val="28"/>
              </w:rPr>
            </w:pPr>
            <w:r>
              <w:rPr>
                <w:b/>
                <w:sz w:val="36"/>
              </w:rPr>
              <w:t>From:</w:t>
            </w:r>
          </w:p>
        </w:tc>
        <w:tc>
          <w:tcPr>
            <w:tcW w:w="4770" w:type="dxa"/>
            <w:tcBorders/>
          </w:tcPr>
          <w:p>
            <w:pPr>
              <w:pStyle w:val="From"/>
              <w:spacing w:before="360" w:after="0"/>
              <w:rPr/>
            </w:pPr>
            <w:bookmarkStart w:id="4" w:name="From"/>
            <w:bookmarkEnd w:id="4"/>
            <w:r>
              <w:rPr/>
              <w:t>Sara Shackleton</w:t>
            </w:r>
          </w:p>
        </w:tc>
      </w:tr>
      <w:tr>
        <w:trPr/>
        <w:tc>
          <w:tcPr>
            <w:tcW w:w="3168" w:type="dxa"/>
            <w:tcBorders/>
          </w:tcPr>
          <w:p>
            <w:pPr>
              <w:pStyle w:val="Normal"/>
              <w:jc w:val="end"/>
              <w:rPr>
                <w:b/>
                <w:sz w:val="28"/>
              </w:rPr>
            </w:pPr>
            <w:r>
              <w:rPr>
                <w:b/>
                <w:sz w:val="28"/>
              </w:rPr>
              <w:t>Company:</w:t>
            </w:r>
          </w:p>
        </w:tc>
        <w:tc>
          <w:tcPr>
            <w:tcW w:w="4770" w:type="dxa"/>
            <w:tcBorders/>
          </w:tcPr>
          <w:p>
            <w:pPr>
              <w:pStyle w:val="FromCompany"/>
              <w:rPr/>
            </w:pPr>
            <w:bookmarkStart w:id="5" w:name="FromCompany"/>
            <w:bookmarkEnd w:id="5"/>
            <w:r>
              <w:rPr/>
              <w:t>Enron North America Corp.</w:t>
            </w:r>
          </w:p>
        </w:tc>
      </w:tr>
      <w:tr>
        <w:trPr/>
        <w:tc>
          <w:tcPr>
            <w:tcW w:w="3168" w:type="dxa"/>
            <w:tcBorders/>
          </w:tcPr>
          <w:p>
            <w:pPr>
              <w:pStyle w:val="Normal"/>
              <w:jc w:val="end"/>
              <w:rPr>
                <w:b/>
                <w:sz w:val="28"/>
              </w:rPr>
            </w:pPr>
            <w:r>
              <w:rPr>
                <w:b/>
                <w:sz w:val="28"/>
              </w:rPr>
              <w:t>Phone:</w:t>
            </w:r>
          </w:p>
        </w:tc>
        <w:tc>
          <w:tcPr>
            <w:tcW w:w="4770" w:type="dxa"/>
            <w:tcBorders/>
          </w:tcPr>
          <w:p>
            <w:pPr>
              <w:pStyle w:val="FromPhone"/>
              <w:rPr/>
            </w:pPr>
            <w:bookmarkStart w:id="6" w:name="FromPhone"/>
            <w:bookmarkEnd w:id="6"/>
            <w:r>
              <w:rPr/>
              <w:t>713-853-5620</w:t>
            </w:r>
          </w:p>
        </w:tc>
      </w:tr>
      <w:tr>
        <w:trPr/>
        <w:tc>
          <w:tcPr>
            <w:tcW w:w="3168" w:type="dxa"/>
            <w:tcBorders/>
          </w:tcPr>
          <w:p>
            <w:pPr>
              <w:pStyle w:val="Normal"/>
              <w:jc w:val="end"/>
              <w:rPr>
                <w:b/>
                <w:sz w:val="28"/>
              </w:rPr>
            </w:pPr>
            <w:r>
              <w:rPr>
                <w:b/>
                <w:sz w:val="28"/>
              </w:rPr>
              <w:t>Fax:</w:t>
            </w:r>
          </w:p>
        </w:tc>
        <w:tc>
          <w:tcPr>
            <w:tcW w:w="4770" w:type="dxa"/>
            <w:tcBorders/>
          </w:tcPr>
          <w:p>
            <w:pPr>
              <w:pStyle w:val="FromFax"/>
              <w:rPr/>
            </w:pPr>
            <w:bookmarkStart w:id="7" w:name="FromFax"/>
            <w:bookmarkEnd w:id="7"/>
            <w:r>
              <w:rPr/>
              <w:t>713-646-3393</w:t>
            </w:r>
          </w:p>
        </w:tc>
      </w:tr>
      <w:tr>
        <w:trPr/>
        <w:tc>
          <w:tcPr>
            <w:tcW w:w="3168" w:type="dxa"/>
            <w:tcBorders/>
          </w:tcPr>
          <w:p>
            <w:pPr>
              <w:pStyle w:val="Normal"/>
              <w:spacing w:before="360" w:after="0"/>
              <w:jc w:val="end"/>
              <w:rPr>
                <w:b/>
                <w:sz w:val="28"/>
              </w:rPr>
            </w:pPr>
            <w:r>
              <w:rPr>
                <w:b/>
                <w:sz w:val="28"/>
              </w:rPr>
              <w:t>Date:</w:t>
            </w:r>
          </w:p>
        </w:tc>
        <w:tc>
          <w:tcPr>
            <w:tcW w:w="4770" w:type="dxa"/>
            <w:tcBorders/>
          </w:tcPr>
          <w:p>
            <w:pPr>
              <w:pStyle w:val="Date"/>
              <w:spacing w:before="360" w:after="0"/>
              <w:rPr/>
            </w:pPr>
            <w:bookmarkStart w:id="8" w:name="Date"/>
            <w:bookmarkEnd w:id="8"/>
            <w:r>
              <w:rPr/>
              <w:fldChar w:fldCharType="begin"/>
            </w:r>
            <w:r>
              <w:rPr/>
              <w:instrText xml:space="preserve"> DATE \@"MMMM\ d', 'yyyy" </w:instrText>
            </w:r>
            <w:r>
              <w:rPr/>
              <w:fldChar w:fldCharType="separate"/>
            </w:r>
            <w:r>
              <w:rPr/>
              <w:t>September 28, 2025</w:t>
            </w:r>
            <w:r>
              <w:rPr/>
              <w:fldChar w:fldCharType="end"/>
            </w:r>
          </w:p>
        </w:tc>
      </w:tr>
      <w:tr>
        <w:trPr/>
        <w:tc>
          <w:tcPr>
            <w:tcW w:w="3168" w:type="dxa"/>
            <w:tcBorders/>
          </w:tcPr>
          <w:p>
            <w:pPr>
              <w:pStyle w:val="Normal"/>
              <w:jc w:val="end"/>
              <w:rPr>
                <w:b/>
                <w:sz w:val="28"/>
              </w:rPr>
            </w:pPr>
            <w:r>
              <w:rPr>
                <w:b/>
                <w:sz w:val="28"/>
              </w:rPr>
              <w:t>Pages including this cover page:</w:t>
            </w:r>
          </w:p>
        </w:tc>
        <w:tc>
          <w:tcPr>
            <w:tcW w:w="4770" w:type="dxa"/>
            <w:tcBorders/>
          </w:tcPr>
          <w:p>
            <w:pPr>
              <w:pStyle w:val="Pages"/>
              <w:rPr/>
            </w:pPr>
            <w:r>
              <w:rPr/>
              <w:br/>
            </w:r>
            <w:bookmarkStart w:id="9" w:name="Pages"/>
            <w:bookmarkEnd w:id="9"/>
            <w:r>
              <w:rPr/>
              <w:t>1</w:t>
            </w:r>
          </w:p>
        </w:tc>
      </w:tr>
    </w:tbl>
    <w:p>
      <w:pPr>
        <w:pStyle w:val="Normal"/>
        <w:rPr/>
      </w:pPr>
      <w:r>
        <w:rPr/>
      </w:r>
    </w:p>
    <w:p>
      <w:pPr>
        <w:pStyle w:val="Comments"/>
        <w:rPr>
          <w:rFonts w:ascii="Tms Rmn" w:hAnsi="Tms Rmn" w:cs="Tms Rmn"/>
          <w:b w:val="false"/>
          <w:smallCaps/>
          <w:sz w:val="18"/>
        </w:rPr>
      </w:pPr>
      <w:r>
        <w:rPr/>
        <w:t>Comments:  Carolyne:  In connection with commodity swap NM5460.3, .4 (and future commodity transactions), please call me to discuss, if you like.  In general, (1) because our Floating Price language is generic to ISDA and non-ISDA deals, we use the term “prompt month” in lieu of “First Nearby Month” and (2)  we cannot agree to your changes on the entirety of paragraph 3, which provisions (for commodity deals) are typically included in our Master Schedule.  Please feel free to contact me.  I will advise Joe Hunter of my comments.  Regards.  Sara</w:t>
      </w:r>
    </w:p>
    <w:p>
      <w:pPr>
        <w:pStyle w:val="Normal"/>
        <w:rPr>
          <w:rFonts w:ascii="Tms Rmn" w:hAnsi="Tms Rmn" w:cs="Tms Rmn"/>
          <w:b/>
          <w:smallCaps/>
          <w:sz w:val="18"/>
        </w:rPr>
      </w:pPr>
      <w:r>
        <w:rPr>
          <w:rFonts w:cs="Tms Rmn" w:ascii="Tms Rmn" w:hAnsi="Tms Rmn"/>
          <w:b/>
          <w:smallCaps/>
          <w:sz w:val="18"/>
        </w:rPr>
      </w:r>
    </w:p>
    <w:p>
      <w:pPr>
        <w:pStyle w:val="Normal"/>
        <w:rPr>
          <w:rFonts w:ascii="Tms Rmn" w:hAnsi="Tms Rmn" w:cs="Tms Rmn"/>
          <w:b/>
          <w:smallCaps/>
          <w:sz w:val="18"/>
        </w:rPr>
      </w:pPr>
      <w:r>
        <w:rPr>
          <w:rFonts w:cs="Tms Rmn" w:ascii="Tms Rmn" w:hAnsi="Tms Rmn"/>
          <w:b/>
          <w:smallCaps/>
          <w:sz w:val="18"/>
        </w:rPr>
      </w:r>
    </w:p>
    <w:p>
      <w:pPr>
        <w:pStyle w:val="Normal"/>
        <w:rPr>
          <w:sz w:val="18"/>
        </w:rPr>
      </w:pPr>
      <w:r>
        <w:rPr>
          <w:rFonts w:cs="Tms Rmn" w:ascii="Tms Rmn" w:hAnsi="Tms Rmn"/>
          <w:b/>
          <w:smallCaps/>
          <w:sz w:val="18"/>
        </w:rPr>
        <w:t xml:space="preserve">IMPORTANT:  </w:t>
      </w:r>
      <w:r>
        <w:rPr>
          <w:rFonts w:cs="Tms Rmn" w:ascii="Tms Rmn" w:hAnsi="Tms Rmn"/>
          <w:b/>
          <w:smallCaps/>
          <w:sz w:val="18"/>
          <w:u w:val="single"/>
        </w:rPr>
        <w:t>This message is intended only for the use of the individual or entity to whom it is addressed, and may contain information that is privileged and confidential, or that constitutes work product and is exempt from disclosure under applicable law.</w:t>
      </w:r>
      <w:r>
        <w:rPr>
          <w:rFonts w:cs="Tms Rmn" w:ascii="Tms Rmn" w:hAnsi="Tms Rmn"/>
          <w:b/>
          <w:smallCaps/>
          <w:sz w:val="18"/>
        </w:rPr>
        <w:t xml:space="preserve">  </w:t>
      </w:r>
      <w:r>
        <w:rPr>
          <w:rFonts w:cs="Tms Rmn" w:ascii="Tms Rmn" w:hAnsi="Tms Rmn"/>
          <w:smallCaps/>
          <w:sz w:val="18"/>
        </w:rPr>
        <w:t>If the reader of this message is not the intended recipient or the employee or agent responsible for delivering the message to the intended recipient, you are hereby notified that any use, dissemination, distribution, or copying of this communication is strictly prohibited.</w:t>
      </w:r>
      <w:r>
        <w:rPr>
          <w:rFonts w:cs="Tms Rmn" w:ascii="Tms Rmn" w:hAnsi="Tms Rmn"/>
          <w:smallCaps/>
        </w:rPr>
        <w:t xml:space="preserve"> </w:t>
      </w:r>
      <w:r>
        <w:rPr>
          <w:rFonts w:cs="Tms Rmn" w:ascii="Tms Rmn" w:hAnsi="Tms Rmn"/>
          <w:smallCaps/>
          <w:sz w:val="18"/>
        </w:rPr>
        <w:t xml:space="preserve"> If you have received this communication in error, please notify us immediately by telephone and return the original message to us at the above address via the u.s. postal service.</w:t>
      </w:r>
    </w:p>
    <w:p>
      <w:pPr>
        <w:pStyle w:val="Normal"/>
        <w:rPr>
          <w:sz w:val="18"/>
        </w:rPr>
      </w:pPr>
      <w:r>
        <w:rPr>
          <w:sz w:val="18"/>
        </w:rPr>
      </w:r>
    </w:p>
    <w:sectPr>
      <w:headerReference w:type="default" r:id="rId3"/>
      <w:footerReference w:type="default" r:id="rId4"/>
      <w:type w:val="nextPage"/>
      <w:pgSz w:w="12240" w:h="15840"/>
      <w:pgMar w:left="1800" w:right="1800" w:gutter="0" w:header="720" w:top="77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/mnt/main-storage/datasets/enron-docs/doc/tokyo_mitsubishi.doc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character" w:styleId="DefaultParagraphFont">
    <w:name w:val="Default Paragraph Font"/>
    <w:qFormat/>
    <w:rPr/>
  </w:style>
  <w:style w:type="paragraph" w:styleId="Heading">
    <w:name w:val="Heading"/>
    <w:basedOn w:val="Normal"/>
    <w:next w:val="BodyText"/>
    <w:qFormat/>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2000-08-28T12:42:00Z</dcterms:created>
  <dc:creator>ECT</dc:creator>
  <dc:description/>
  <dc:language>en-CA</dc:language>
  <cp:lastModifiedBy>sshackl</cp:lastModifiedBy>
  <cp:lastPrinted>2000-08-28T10:20:00Z</cp:lastPrinted>
  <dcterms:modified xsi:type="dcterms:W3CDTF">2000-08-28T12:50:00Z</dcterms:modified>
  <cp:revision>6</cp:revision>
  <dc:subject/>
  <dc:title>Create a cover sheet for an Enron Capital &amp; Trade Resources fax with confidetiality statement.</dc:title>
</cp:coreProperties>
</file>