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xlsx" ContentType="application/vnd.openxmlformats-officedocument.spreadsheetml.sheet"/>
  <Override PartName="/word/embeddings/oleObject2.xlsx" ContentType="application/vnd.openxmlformats-officedocument.spreadsheetml.sheet"/>
  <Override PartName="/word/embeddings/oleObject3.xlsx" ContentType="application/vnd.openxmlformats-officedocument.spreadsheetml.sheet"/>
  <Override PartName="/word/media/image1.wmf" ContentType="image/x-wmf"/>
  <Override PartName="/word/media/image2.wmf" ContentType="image/x-wmf"/>
  <Override PartName="/word/media/image3.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240" w:after="60"/>
        <w:ind w:hanging="0" w:start="0"/>
        <w:rPr/>
      </w:pPr>
      <w:r>
        <w:rPr/>
        <w:t>Summary</w:t>
      </w:r>
    </w:p>
    <w:p>
      <w:pPr>
        <w:pStyle w:val="Normal"/>
        <w:rPr/>
      </w:pPr>
      <w:r>
        <w:rPr/>
        <w:t xml:space="preserve">The New Power Company (TNPC) is seeking IT infrastructure services for it’s Houston and Greenwich Connecticut based offices.  The Greenwich office will soon be moving to Purchase, NY.  The currently level of 150 employees does not necessitate building their own IT infrastructure. Enron Transportation services currently has excess capacity in their IT infrastructure and is willing to provide TNPC with services.  </w:t>
      </w:r>
    </w:p>
    <w:p>
      <w:pPr>
        <w:pStyle w:val="Heading1"/>
        <w:ind w:hanging="0" w:start="0"/>
        <w:rPr/>
      </w:pPr>
      <w:r>
        <w:rPr/>
        <w:t xml:space="preserve">Agreement Model </w:t>
      </w:r>
    </w:p>
    <w:p>
      <w:pPr>
        <w:pStyle w:val="Normal"/>
        <w:rPr/>
      </w:pPr>
      <w:r>
        <w:rPr/>
        <w:t>The agreement would segmented into four areas Desktop File and Print Services, Application server, LoadStar Project and Database Monitoring Services, and Windows 2000 conversion. This agreement would cover the year 2001.  The startup / due diligence charges would be one time charges.</w:t>
      </w:r>
    </w:p>
    <w:p>
      <w:pPr>
        <w:pStyle w:val="Heading2"/>
        <w:ind w:hanging="0" w:start="0"/>
        <w:rPr>
          <w:b w:val="false"/>
          <w:bCs w:val="false"/>
        </w:rPr>
      </w:pPr>
      <w:r>
        <w:rPr>
          <w:b w:val="false"/>
          <w:bCs w:val="false"/>
        </w:rPr>
        <w:t>Desktop Services</w:t>
      </w:r>
    </w:p>
    <w:p>
      <w:pPr>
        <w:pStyle w:val="Normal"/>
        <w:rPr/>
      </w:pPr>
      <w:r>
        <w:rPr/>
        <w:t>TNPC currently owns their computing equipment and would like for ETS to provide normal day-to-day service.  TNPC would continue to own their equipment and purchase upgrades and replacements as recommended by ETS.  ETS currently provides for Desktop Services between the hours of 7am to 6pm during the week with pager callout for other times. TNPC currently maintains 2 desktop support people in Greenwich and 1 in Houston.  The support people would be retained by TNPC.  ETS would agree to provide the TNPC users with the following:</w:t>
      </w:r>
    </w:p>
    <w:p>
      <w:pPr>
        <w:pStyle w:val="Normal"/>
        <w:numPr>
          <w:ilvl w:val="0"/>
          <w:numId w:val="2"/>
        </w:numPr>
        <w:rPr/>
      </w:pPr>
      <w:r>
        <w:rPr/>
        <w:t>Disk storage for user files</w:t>
      </w:r>
    </w:p>
    <w:p>
      <w:pPr>
        <w:pStyle w:val="Normal"/>
        <w:numPr>
          <w:ilvl w:val="0"/>
          <w:numId w:val="2"/>
        </w:numPr>
        <w:rPr/>
      </w:pPr>
      <w:r>
        <w:rPr/>
        <w:t>800 number for users calls</w:t>
      </w:r>
    </w:p>
    <w:p>
      <w:pPr>
        <w:pStyle w:val="Normal"/>
        <w:numPr>
          <w:ilvl w:val="0"/>
          <w:numId w:val="2"/>
        </w:numPr>
        <w:rPr/>
      </w:pPr>
      <w:r>
        <w:rPr/>
        <w:t xml:space="preserve">Help desk support for Microsoft Office products </w:t>
      </w:r>
    </w:p>
    <w:p>
      <w:pPr>
        <w:pStyle w:val="Normal"/>
        <w:numPr>
          <w:ilvl w:val="0"/>
          <w:numId w:val="2"/>
        </w:numPr>
        <w:rPr/>
      </w:pPr>
      <w:r>
        <w:rPr/>
        <w:t>Help desk support for printer issues and printer maintenance</w:t>
      </w:r>
    </w:p>
    <w:p>
      <w:pPr>
        <w:pStyle w:val="Normal"/>
        <w:numPr>
          <w:ilvl w:val="0"/>
          <w:numId w:val="2"/>
        </w:numPr>
        <w:rPr/>
      </w:pPr>
      <w:r>
        <w:rPr/>
        <w:t>Dispatch for TNPC’s current desktop support staff</w:t>
      </w:r>
    </w:p>
    <w:p>
      <w:pPr>
        <w:pStyle w:val="Normal"/>
        <w:numPr>
          <w:ilvl w:val="0"/>
          <w:numId w:val="2"/>
        </w:numPr>
        <w:rPr/>
      </w:pPr>
      <w:r>
        <w:rPr/>
        <w:t>Assistance working with Corp on network issues</w:t>
      </w:r>
    </w:p>
    <w:p>
      <w:pPr>
        <w:pStyle w:val="Normal"/>
        <w:numPr>
          <w:ilvl w:val="0"/>
          <w:numId w:val="2"/>
        </w:numPr>
        <w:rPr/>
      </w:pPr>
      <w:r>
        <w:rPr/>
        <w:t>Windows authentication and resolution services as supplied by the CORP domain.</w:t>
      </w:r>
    </w:p>
    <w:p>
      <w:pPr>
        <w:pStyle w:val="Normal"/>
        <w:numPr>
          <w:ilvl w:val="0"/>
          <w:numId w:val="2"/>
        </w:numPr>
        <w:rPr/>
      </w:pPr>
      <w:r>
        <w:rPr/>
        <w:t xml:space="preserve">Upgrades and service packs to the operating systems environment and desktop software using the ENW upgrade process. </w:t>
      </w:r>
    </w:p>
    <w:p>
      <w:pPr>
        <w:pStyle w:val="Normal"/>
        <w:numPr>
          <w:ilvl w:val="0"/>
          <w:numId w:val="2"/>
        </w:numPr>
        <w:rPr/>
      </w:pPr>
      <w:r>
        <w:rPr/>
        <w:t xml:space="preserve">Packaging and ongoing revisions for 20 TNPC in-house developed applications </w:t>
      </w:r>
    </w:p>
    <w:p>
      <w:pPr>
        <w:pStyle w:val="Normal"/>
        <w:numPr>
          <w:ilvl w:val="0"/>
          <w:numId w:val="2"/>
        </w:numPr>
        <w:rPr/>
      </w:pPr>
      <w:r>
        <w:rPr/>
        <w:t>TNPC would need to provide hardware for a domain controller in the Greenwich location.</w:t>
      </w:r>
    </w:p>
    <w:p>
      <w:pPr>
        <w:pStyle w:val="Normal"/>
        <w:numPr>
          <w:ilvl w:val="0"/>
          <w:numId w:val="2"/>
        </w:numPr>
        <w:rPr/>
      </w:pPr>
      <w:r>
        <w:rPr/>
        <w:t xml:space="preserve">Until the Window 2000 conversion TNPC would maintain Windows OS and Office licenses. </w:t>
      </w:r>
    </w:p>
    <w:p>
      <w:pPr>
        <w:pStyle w:val="Normal"/>
        <w:ind w:start="360" w:end="0"/>
        <w:rPr/>
      </w:pPr>
      <w:r>
        <w:rPr/>
      </w:r>
    </w:p>
    <w:p>
      <w:pPr>
        <w:pStyle w:val="Normal"/>
        <w:rPr/>
      </w:pPr>
      <w:r>
        <w:rPr/>
      </w:r>
    </w:p>
    <w:p>
      <w:pPr>
        <w:pStyle w:val="Normal"/>
        <w:jc w:val="center"/>
        <w:rPr/>
      </w:pPr>
      <w:bookmarkStart w:id="0" w:name="_1037431611"/>
      <w:bookmarkStart w:id="1" w:name="_1036841612"/>
      <w:bookmarkStart w:id="2" w:name="_1036841126"/>
      <w:bookmarkEnd w:id="0"/>
      <w:bookmarkEnd w:id="1"/>
      <w:bookmarkEnd w:id="2"/>
      <w:r>
        <w:rPr/>
        <w:object w:dxaOrig="7313" w:dyaOrig="1276">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365.25pt;height:62.75pt" filled="f" o:ole="">
            <v:imagedata r:id="rId3" o:title=""/>
          </v:shape>
          <o:OLEObject Type="Embed" ProgID="Excel.Sheet.12" ShapeID="ole_rId2" DrawAspect="Content" ObjectID="_1327027353" r:id="rId2"/>
        </w:object>
      </w:r>
      <w:r>
        <w:rPr/>
        <w:br/>
        <w:t>Note: These cost would be adjusted once a formal due diligence was completed.</w:t>
      </w:r>
    </w:p>
    <w:p>
      <w:pPr>
        <w:pStyle w:val="Heading2"/>
        <w:ind w:hanging="0" w:start="0"/>
        <w:rPr>
          <w:b w:val="false"/>
          <w:bCs w:val="false"/>
        </w:rPr>
      </w:pPr>
      <w:r>
        <w:rPr>
          <w:b w:val="false"/>
          <w:bCs w:val="false"/>
        </w:rPr>
        <w:t>Application and Database Monitoring Services</w:t>
      </w:r>
    </w:p>
    <w:p>
      <w:pPr>
        <w:pStyle w:val="Normal"/>
        <w:rPr/>
      </w:pPr>
      <w:r>
        <w:rPr/>
        <w:t>TNPC would like for ETS to provide monitoring for the following application servers.  In addition to the monitoring of servers ETS staff would be available on a as needed basis for support of Unix OS and Oracle and SQL server databases. Service would include backups and callout for restoring servers to operation. TNPC would retain responsibility for purchase of hardware, server and database, backup software and server licenses.  TNPC would continue to pay for data center charges.</w:t>
      </w:r>
    </w:p>
    <w:p>
      <w:pPr>
        <w:pStyle w:val="Normal"/>
        <w:rPr/>
      </w:pPr>
      <w:r>
        <w:rPr/>
      </w:r>
    </w:p>
    <w:p>
      <w:pPr>
        <w:pStyle w:val="Normal"/>
        <w:jc w:val="center"/>
        <w:rPr/>
      </w:pPr>
      <w:bookmarkStart w:id="3" w:name="_1037432901"/>
      <w:bookmarkEnd w:id="3"/>
      <w:r>
        <w:rPr/>
        <w:object w:dxaOrig="6901" w:dyaOrig="1531">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344.75pt;height:75.1pt" filled="f" o:ole="">
            <v:imagedata r:id="rId5" o:title=""/>
          </v:shape>
          <o:OLEObject Type="Embed" ProgID="Excel.Sheet.12" ShapeID="ole_rId4" DrawAspect="Content" ObjectID="_831922142" r:id="rId4"/>
        </w:object>
      </w:r>
    </w:p>
    <w:p>
      <w:pPr>
        <w:pStyle w:val="Normal"/>
        <w:rPr/>
      </w:pPr>
      <w:r>
        <w:rPr/>
        <w:t>Note: Depending on backup archive schedule the Tape Backup / Offsite charge may be adjusted.</w:t>
      </w:r>
    </w:p>
    <w:p>
      <w:pPr>
        <w:pStyle w:val="Heading2"/>
        <w:ind w:hanging="0" w:start="0"/>
        <w:rPr>
          <w:b w:val="false"/>
          <w:bCs w:val="false"/>
        </w:rPr>
      </w:pPr>
      <w:r>
        <w:rPr>
          <w:b w:val="false"/>
          <w:bCs w:val="false"/>
        </w:rPr>
        <w:t>LoadStar Project</w:t>
      </w:r>
    </w:p>
    <w:p>
      <w:pPr>
        <w:pStyle w:val="Normal"/>
        <w:rPr/>
      </w:pPr>
      <w:r>
        <w:rPr/>
        <w:t xml:space="preserve">TNPC is beginning an implementation of Loadstar Utility program. The identified for running this packaged software is Sun with Oracle as the database.  ETS would assist TNPC and the vendors installing the servers, OS and software.  Due to the unknowns involved with startup operations ETS would bill TNPC on a Time &amp; Material basis for this project.   The billing rate would be $150/ hour.  </w:t>
      </w:r>
    </w:p>
    <w:p>
      <w:pPr>
        <w:pStyle w:val="Normal"/>
        <w:rPr/>
      </w:pPr>
      <w:r>
        <w:rPr/>
      </w:r>
    </w:p>
    <w:p>
      <w:pPr>
        <w:pStyle w:val="Heading2"/>
        <w:ind w:hanging="0" w:start="0"/>
        <w:rPr>
          <w:b w:val="false"/>
          <w:bCs w:val="false"/>
        </w:rPr>
      </w:pPr>
      <w:r>
        <w:rPr>
          <w:b w:val="false"/>
          <w:bCs w:val="false"/>
        </w:rPr>
        <w:t>Windows 2000 Conversion</w:t>
      </w:r>
    </w:p>
    <w:p>
      <w:pPr>
        <w:pStyle w:val="Normal"/>
        <w:rPr/>
      </w:pPr>
      <w:r>
        <w:rPr/>
        <w:t xml:space="preserve">The conversion to Windows 2000 would be a one time operation and charge.  The conversion would be from TNPC’s NT 4 environment to a Windows 2000 environment.  </w:t>
      </w:r>
    </w:p>
    <w:p>
      <w:pPr>
        <w:pStyle w:val="Normal"/>
        <w:rPr/>
      </w:pPr>
      <w:r>
        <w:rPr/>
        <w:t xml:space="preserve">The image installed is the one provided by ENW. </w:t>
      </w:r>
    </w:p>
    <w:p>
      <w:pPr>
        <w:pStyle w:val="Normal"/>
        <w:jc w:val="center"/>
        <w:rPr/>
      </w:pPr>
      <w:bookmarkStart w:id="4" w:name="_1037431214"/>
      <w:bookmarkStart w:id="5" w:name="_1037080573"/>
      <w:bookmarkStart w:id="6" w:name="_1036836686"/>
      <w:bookmarkEnd w:id="4"/>
      <w:bookmarkEnd w:id="5"/>
      <w:bookmarkEnd w:id="6"/>
      <w:r>
        <w:rPr/>
        <w:object w:dxaOrig="7072" w:dyaOrig="1801">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354.35pt;height:88.2pt" filled="f" o:ole="">
            <v:imagedata r:id="rId7" o:title=""/>
          </v:shape>
          <o:OLEObject Type="Embed" ProgID="Excel.Sheet.12" ShapeID="ole_rId6" DrawAspect="Content" ObjectID="_578767641" r:id="rId6"/>
        </w:object>
      </w:r>
    </w:p>
    <w:p>
      <w:pPr>
        <w:pStyle w:val="Normal"/>
        <w:rPr/>
      </w:pPr>
      <w:r>
        <w:rPr/>
      </w:r>
    </w:p>
    <w:p>
      <w:pPr>
        <w:pStyle w:val="Normal"/>
        <w:rPr/>
      </w:pPr>
      <w:r>
        <w:rPr/>
        <w:t>The Windows 2000 conversion would allow TNPC employees to be productive at Enron facilities around the world. Allow sharing of information between Enron employees and TNPC employees.  For employees transferring between companies</w:t>
      </w:r>
    </w:p>
    <w:p>
      <w:pPr>
        <w:pStyle w:val="Heading1"/>
        <w:ind w:hanging="0" w:start="0"/>
        <w:rPr/>
      </w:pPr>
      <w:r>
        <w:rPr/>
        <w:t>Messaging</w:t>
      </w:r>
    </w:p>
    <w:p>
      <w:pPr>
        <w:pStyle w:val="Normal"/>
        <w:rPr/>
      </w:pPr>
      <w:r>
        <w:rPr/>
        <w:t>TNPC currently is on EES’s notes servers.  TNPC would like the option to remain on Notes or move to Outlook. Outlook based messaging services is provided for by Corp.  Conversion to Outlook could be accomplished during the Windows 2000 conversion.  An additional agreement would be written to cover messaging conversion to Outlook.</w:t>
      </w:r>
    </w:p>
    <w:p>
      <w:pPr>
        <w:pStyle w:val="Normal"/>
        <w:rPr/>
      </w:pPr>
      <w:r>
        <w:rPr/>
      </w:r>
    </w:p>
    <w:p>
      <w:pPr>
        <w:pStyle w:val="Heading2"/>
        <w:ind w:hanging="0" w:start="0"/>
        <w:rPr/>
      </w:pPr>
      <w:r>
        <w:rPr/>
        <w:t>Network</w:t>
      </w:r>
    </w:p>
    <w:p>
      <w:pPr>
        <w:pStyle w:val="Normal"/>
        <w:rPr/>
      </w:pPr>
      <w:r>
        <w:rPr/>
        <w:t>TNPC’s WAN is currently provided for by Enron Networks (ENW) networking group.  The WAN consists of redundant T1s between Houston and Greenwich.  The networking service would be provided for by ENW.</w:t>
      </w:r>
    </w:p>
    <w:p>
      <w:pPr>
        <w:pStyle w:val="Normal"/>
        <w:rPr/>
      </w:pPr>
      <w:r>
        <w:rPr/>
      </w:r>
    </w:p>
    <w:p>
      <w:pPr>
        <w:pStyle w:val="Heading2"/>
        <w:ind w:hanging="0" w:start="0"/>
        <w:rPr/>
      </w:pPr>
      <w:r>
        <w:rPr/>
        <w:t>Other</w:t>
      </w:r>
    </w:p>
    <w:p>
      <w:pPr>
        <w:pStyle w:val="Normal"/>
        <w:rPr/>
      </w:pPr>
      <w:r>
        <w:rPr/>
        <w:t>TNPC would like to consider at a future time ETS providing Disaster Recovery support.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package" Target="embeddings/oleObject2.xlsx"/><Relationship Id="rId5" Type="http://schemas.openxmlformats.org/officeDocument/2006/relationships/image" Target="media/image2.wmf"/><Relationship Id="rId6" Type="http://schemas.openxmlformats.org/officeDocument/2006/relationships/package" Target="embeddings/oleObject3.xlsx"/><Relationship Id="rId7" Type="http://schemas.openxmlformats.org/officeDocument/2006/relationships/image" Target="media/image3.wmf"/><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360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2000-11-21T13:10:00Z</dcterms:created>
  <dc:creator>Kelly Strader</dc:creator>
  <dc:description/>
  <dc:language>en-CA</dc:language>
  <cp:lastModifiedBy>fp</cp:lastModifiedBy>
  <cp:lastPrinted>2000-12-04T11:40:00Z</cp:lastPrinted>
  <dcterms:modified xsi:type="dcterms:W3CDTF">2000-12-04T15:24:00Z</dcterms:modified>
  <cp:revision>15</cp:revision>
  <dc:subject/>
  <dc:title>Summary</dc:title>
</cp:coreProperties>
</file>