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 w:val="left" w:pos="0" w:leader="none"/>
          <w:tab w:val="left" w:pos="437" w:leader="none"/>
          <w:tab w:val="left" w:pos="1092" w:leader="none"/>
          <w:tab w:val="right" w:pos="9360" w:leader="none"/>
        </w:tabs>
        <w:suppressAutoHyphens w:val="true"/>
        <w:spacing w:lineRule="auto" w:line="216"/>
        <w:jc w:val="both"/>
        <w:rPr>
          <w:spacing w:val="-3"/>
          <w:sz w:val="26"/>
        </w:rPr>
      </w:pPr>
      <w:r>
        <w:rPr>
          <w:b/>
          <w:i/>
          <w:spacing w:val="-3"/>
          <w:sz w:val="40"/>
        </w:rPr>
        <w:t>EOTT</w:t>
      </w:r>
      <w:r>
        <w:rPr>
          <w:b/>
          <w:i/>
          <w:spacing w:val="-3"/>
          <w:sz w:val="26"/>
        </w:rPr>
        <w:t xml:space="preserve"> ENERGY CORP</w:t>
      </w:r>
      <w:r>
        <w:rPr>
          <w:b/>
          <w:spacing w:val="-3"/>
          <w:sz w:val="26"/>
        </w:rPr>
        <w:tab/>
        <w:t>MEMORANDUM</w:t>
      </w:r>
    </w:p>
    <w:p>
      <w:pPr>
        <w:pStyle w:val="Normal"/>
        <w:tabs>
          <w:tab w:val="clear" w:pos="720"/>
          <w:tab w:val="left" w:pos="-1440" w:leader="none"/>
          <w:tab w:val="left" w:pos="-720" w:leader="none"/>
          <w:tab w:val="left" w:pos="0" w:leader="none"/>
          <w:tab w:val="left" w:pos="437" w:leader="none"/>
          <w:tab w:val="left" w:pos="1092" w:leader="none"/>
          <w:tab w:val="right" w:pos="8633" w:leader="none"/>
        </w:tabs>
        <w:suppressAutoHyphens w:val="true"/>
        <w:spacing w:lineRule="auto" w:line="216"/>
        <w:jc w:val="both"/>
        <w:rPr>
          <w:spacing w:val="-3"/>
          <w:sz w:val="26"/>
        </w:rPr>
      </w:pPr>
      <w:r>
        <w:rPr>
          <w:spacing w:val="-3"/>
          <w:sz w:val="26"/>
        </w:rPr>
      </w:r>
    </w:p>
    <w:p>
      <w:pPr>
        <w:pStyle w:val="Normal"/>
        <w:tabs>
          <w:tab w:val="clear" w:pos="720"/>
          <w:tab w:val="left" w:pos="-1440" w:leader="none"/>
          <w:tab w:val="left" w:pos="-720" w:leader="none"/>
          <w:tab w:val="left" w:pos="0" w:leader="none"/>
          <w:tab w:val="left" w:pos="437" w:leader="none"/>
          <w:tab w:val="left" w:pos="1092" w:leader="none"/>
          <w:tab w:val="right" w:pos="8633" w:leader="none"/>
        </w:tabs>
        <w:suppressAutoHyphens w:val="true"/>
        <w:spacing w:lineRule="auto" w:line="216"/>
        <w:jc w:val="both"/>
        <w:rPr>
          <w:spacing w:val="-3"/>
          <w:sz w:val="26"/>
        </w:rPr>
      </w:pPr>
      <w:r>
        <w:rPr>
          <w:spacing w:val="-3"/>
          <w:sz w:val="26"/>
        </w:rPr>
      </w:r>
    </w:p>
    <w:p>
      <w:pPr>
        <w:pStyle w:val="Heading2"/>
        <w:ind w:hanging="0" w:start="0"/>
        <w:rPr>
          <w:spacing w:val="-3"/>
          <w:sz w:val="26"/>
        </w:rPr>
      </w:pPr>
      <w:r>
        <w:rPr>
          <w:spacing w:val="-3"/>
          <w:sz w:val="26"/>
        </w:rPr>
      </w:r>
    </w:p>
    <w:p>
      <w:pPr>
        <w:pStyle w:val="Normal"/>
        <w:rPr>
          <w:rFonts w:ascii="Arial" w:hAnsi="Arial" w:cs="Arial"/>
          <w:sz w:val="22"/>
        </w:rPr>
      </w:pPr>
      <w:r>
        <w:rPr>
          <w:rFonts w:cs="Arial" w:ascii="Arial" w:hAnsi="Arial"/>
          <w:sz w:val="22"/>
        </w:rPr>
        <w:t>To:</w:t>
        <w:tab/>
        <w:tab/>
        <w:t>Distribution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From:</w:t>
        <w:tab/>
        <w:tab/>
        <w:t xml:space="preserve">Lori Maddox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Date:</w:t>
        <w:tab/>
        <w:tab/>
        <w:t>August 23,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Subject:</w:t>
        <w:tab/>
        <w:t>2002 Budget Timeline</w:t>
      </w:r>
    </w:p>
    <w:p>
      <w:pPr>
        <w:pStyle w:val="Normal"/>
        <w:rPr>
          <w:rFonts w:ascii="Arial" w:hAnsi="Arial" w:cs="Arial"/>
          <w:sz w:val="22"/>
        </w:rPr>
      </w:pPr>
      <w:r>
        <w:rPr>
          <w:rFonts w:cs="Arial" w:ascii="Arial" w:hAnsi="Arial"/>
          <w:sz w:val="22"/>
        </w:rPr>
        <w:t>___________________________________________________________________________</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This memo outlines the timetable and processes for developing the 2002 budget for EOTT Energy Partners, L.P.  It is critical that we meet these due dates in order to meet the goals established by management for completion of the budget process.  The significant dates in the preparation of the 2002 budget are as follows:</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b/>
          <w:sz w:val="22"/>
          <w:u w:val="single"/>
        </w:rPr>
        <w:t>Key Dates</w:t>
      </w:r>
    </w:p>
    <w:p>
      <w:pPr>
        <w:pStyle w:val="Normal"/>
        <w:tabs>
          <w:tab w:val="clear" w:pos="720"/>
          <w:tab w:val="left" w:pos="1800" w:leader="none"/>
        </w:tabs>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August 21</w:t>
        <w:tab/>
        <w:t>Human Resources distributes headcount/payroll worksheets to Business Unit Managers and Vice Presidents.</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ab/>
        <w:t xml:space="preserve">Review 2002 budget timeline with Officer Group </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ab/>
        <w:t>Business Unit Managers meet with Dana Gibbs to discuss volumes, margins, and expense budgets.</w:t>
      </w:r>
    </w:p>
    <w:p>
      <w:pPr>
        <w:pStyle w:val="Normal"/>
        <w:tabs>
          <w:tab w:val="clear" w:pos="720"/>
          <w:tab w:val="left" w:pos="1800" w:leader="none"/>
        </w:tabs>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August 27</w:t>
        <w:tab/>
        <w:t>Distribution of 2002 revenue, expense and capital budget guidelines, budget templates, 2001 Budgets and YTD 2001 Actual Expenses to Business Unit Managers and Vice Presidents.</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rPr>
          <w:rFonts w:ascii="Arial" w:hAnsi="Arial" w:cs="Arial"/>
          <w:sz w:val="22"/>
        </w:rPr>
      </w:pPr>
      <w:r>
        <w:rPr>
          <w:rFonts w:cs="Arial" w:ascii="Arial" w:hAnsi="Arial"/>
          <w:sz w:val="22"/>
        </w:rPr>
        <w:t>September 3</w:t>
        <w:tab/>
        <w:t>Labor Day Holiday</w:t>
      </w:r>
    </w:p>
    <w:p>
      <w:pPr>
        <w:pStyle w:val="Normal"/>
        <w:tabs>
          <w:tab w:val="clear" w:pos="720"/>
          <w:tab w:val="left" w:pos="1800" w:leader="none"/>
        </w:tabs>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September 4</w:t>
        <w:tab/>
        <w:t>Business Unit Managers communicate 2002 volume expectations to Enron Transportation Services (ETS), Fleet Operations and Pipeline Commercial Group</w:t>
      </w:r>
    </w:p>
    <w:p>
      <w:pPr>
        <w:pStyle w:val="Normal"/>
        <w:tabs>
          <w:tab w:val="clear" w:pos="720"/>
          <w:tab w:val="left" w:pos="1800" w:leader="none"/>
        </w:tabs>
        <w:rPr>
          <w:rFonts w:ascii="Arial" w:hAnsi="Arial" w:eastAsia="Arial" w:cs="Arial"/>
          <w:sz w:val="22"/>
        </w:rPr>
      </w:pPr>
      <w:r>
        <w:rPr>
          <w:rFonts w:eastAsia="Arial" w:cs="Arial" w:ascii="Arial" w:hAnsi="Arial"/>
          <w:sz w:val="22"/>
        </w:rPr>
        <w:t xml:space="preserve"> </w:t>
      </w:r>
    </w:p>
    <w:p>
      <w:pPr>
        <w:pStyle w:val="Normal"/>
        <w:tabs>
          <w:tab w:val="clear" w:pos="720"/>
          <w:tab w:val="left" w:pos="1800" w:leader="none"/>
        </w:tabs>
        <w:ind w:hanging="1800" w:start="1800" w:end="0"/>
        <w:rPr>
          <w:rFonts w:ascii="Arial" w:hAnsi="Arial" w:cs="Arial"/>
          <w:sz w:val="22"/>
        </w:rPr>
      </w:pPr>
      <w:r>
        <w:rPr>
          <w:rFonts w:cs="Arial" w:ascii="Arial" w:hAnsi="Arial"/>
          <w:sz w:val="22"/>
        </w:rPr>
        <w:t>September 5</w:t>
        <w:tab/>
        <w:t xml:space="preserve">Business Unit Managers and VPs return headcount/payroll worksheets to </w:t>
      </w:r>
    </w:p>
    <w:p>
      <w:pPr>
        <w:pStyle w:val="Normal"/>
        <w:tabs>
          <w:tab w:val="clear" w:pos="720"/>
          <w:tab w:val="left" w:pos="1800" w:leader="none"/>
        </w:tabs>
        <w:ind w:hanging="1800" w:start="1800" w:end="0"/>
        <w:rPr>
          <w:rFonts w:ascii="Arial" w:hAnsi="Arial" w:cs="Arial"/>
          <w:sz w:val="22"/>
        </w:rPr>
      </w:pPr>
      <w:r>
        <w:rPr>
          <w:rFonts w:cs="Arial" w:ascii="Arial" w:hAnsi="Arial"/>
          <w:sz w:val="22"/>
        </w:rPr>
        <w:tab/>
        <w:t>Human Resources</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rPr>
          <w:rFonts w:ascii="Arial" w:hAnsi="Arial" w:cs="Arial"/>
          <w:sz w:val="22"/>
        </w:rPr>
      </w:pPr>
      <w:r>
        <w:rPr>
          <w:rFonts w:cs="Arial" w:ascii="Arial" w:hAnsi="Arial"/>
          <w:sz w:val="22"/>
        </w:rPr>
        <w:t>September 10</w:t>
        <w:tab/>
        <w:t>Corporate expense budgets due to Financial Services</w:t>
      </w:r>
    </w:p>
    <w:p>
      <w:pPr>
        <w:pStyle w:val="Normal"/>
        <w:tabs>
          <w:tab w:val="clear" w:pos="720"/>
          <w:tab w:val="left" w:pos="1800" w:leader="none"/>
        </w:tabs>
        <w:rPr>
          <w:rFonts w:ascii="Arial" w:hAnsi="Arial" w:cs="Arial"/>
          <w:sz w:val="22"/>
        </w:rPr>
      </w:pPr>
      <w:r>
        <w:rPr>
          <w:rFonts w:cs="Arial" w:ascii="Arial" w:hAnsi="Arial"/>
          <w:sz w:val="22"/>
        </w:rPr>
      </w:r>
    </w:p>
    <w:p>
      <w:pPr>
        <w:pStyle w:val="Normal"/>
        <w:tabs>
          <w:tab w:val="clear" w:pos="720"/>
          <w:tab w:val="left" w:pos="1800" w:leader="none"/>
        </w:tabs>
        <w:rPr>
          <w:rFonts w:ascii="Arial" w:hAnsi="Arial" w:cs="Arial"/>
          <w:sz w:val="22"/>
        </w:rPr>
      </w:pPr>
      <w:r>
        <w:rPr>
          <w:rFonts w:cs="Arial" w:ascii="Arial" w:hAnsi="Arial"/>
          <w:sz w:val="22"/>
        </w:rPr>
        <w:tab/>
        <w:t>Payroll budgets due to Financial Services</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September 17</w:t>
        <w:tab/>
        <w:t>Business Unit Managers submit 2002 sales volumes, margins and marketing and admin expenses to Financial Services.</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ab/>
        <w:t>Pipeline Commercial Group submits pipeline revenue budget to Financial Services</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ab/>
        <w:t xml:space="preserve">Fleet Operations submits fleet expense budget to Financial Services.  </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September 24</w:t>
        <w:tab/>
        <w:t>All Capital budgets (except Pipeline) due to Financial Services.</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ab/>
        <w:t>Benefits budget due to Financial Services.</w:t>
      </w:r>
    </w:p>
    <w:p>
      <w:pPr>
        <w:pStyle w:val="Normal"/>
        <w:tabs>
          <w:tab w:val="clear" w:pos="720"/>
          <w:tab w:val="left" w:pos="1800" w:leader="none"/>
        </w:tabs>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September 25</w:t>
        <w:tab/>
        <w:t>EOTT and ETS review Environmental budget</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September 26</w:t>
        <w:tab/>
        <w:t>Financial Services returns Computron Budget reports and expense review templates to Business Unit Managers and Corporate Officers</w:t>
      </w:r>
    </w:p>
    <w:p>
      <w:pPr>
        <w:pStyle w:val="Normal"/>
        <w:tabs>
          <w:tab w:val="clear" w:pos="720"/>
          <w:tab w:val="left" w:pos="1800" w:leader="none"/>
        </w:tabs>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October 2</w:t>
        <w:tab/>
        <w:t>EOTT and ETS review pipeline operating / capital budgets.</w:t>
      </w:r>
    </w:p>
    <w:p>
      <w:pPr>
        <w:pStyle w:val="Normal"/>
        <w:tabs>
          <w:tab w:val="clear" w:pos="720"/>
          <w:tab w:val="left" w:pos="1800" w:leader="none"/>
        </w:tabs>
        <w:ind w:hanging="1800" w:start="1800" w:end="0"/>
        <w:rPr/>
      </w:pPr>
      <w:r>
        <w:rPr/>
        <w:t xml:space="preserve">  </w:t>
      </w:r>
      <w:r>
        <w:rPr/>
        <w:tab/>
      </w:r>
    </w:p>
    <w:p>
      <w:pPr>
        <w:pStyle w:val="Normal"/>
        <w:tabs>
          <w:tab w:val="clear" w:pos="720"/>
          <w:tab w:val="left" w:pos="1800" w:leader="none"/>
        </w:tabs>
        <w:ind w:hanging="1800" w:start="1800" w:end="0"/>
        <w:rPr>
          <w:rFonts w:ascii="Arial" w:hAnsi="Arial" w:cs="Arial"/>
          <w:sz w:val="22"/>
        </w:rPr>
      </w:pPr>
      <w:r>
        <w:rPr>
          <w:rFonts w:cs="Arial" w:ascii="Arial" w:hAnsi="Arial"/>
          <w:sz w:val="22"/>
        </w:rPr>
        <w:tab/>
        <w:t>EOTT and ETS review Ad Valorem Tax expense budget</w:t>
      </w:r>
    </w:p>
    <w:p>
      <w:pPr>
        <w:pStyle w:val="Normal"/>
        <w:tabs>
          <w:tab w:val="clear" w:pos="720"/>
          <w:tab w:val="left" w:pos="1800" w:leader="none"/>
        </w:tabs>
        <w:ind w:hanging="1800" w:start="1800" w:end="0"/>
        <w:rPr>
          <w:rFonts w:ascii="Arial" w:hAnsi="Arial" w:cs="Arial"/>
          <w:sz w:val="22"/>
        </w:rPr>
      </w:pPr>
      <w:r>
        <w:rPr>
          <w:rFonts w:cs="Arial" w:ascii="Arial" w:hAnsi="Arial"/>
          <w:sz w:val="22"/>
        </w:rPr>
        <w:tab/>
      </w:r>
    </w:p>
    <w:p>
      <w:pPr>
        <w:pStyle w:val="Normal"/>
        <w:tabs>
          <w:tab w:val="clear" w:pos="720"/>
          <w:tab w:val="left" w:pos="1800" w:leader="none"/>
        </w:tabs>
        <w:ind w:hanging="1800" w:start="1800" w:end="0"/>
        <w:rPr>
          <w:rFonts w:ascii="Arial" w:hAnsi="Arial" w:cs="Arial"/>
          <w:sz w:val="22"/>
        </w:rPr>
      </w:pPr>
      <w:r>
        <w:rPr>
          <w:rFonts w:cs="Arial" w:ascii="Arial" w:hAnsi="Arial"/>
          <w:sz w:val="22"/>
        </w:rPr>
        <w:tab/>
        <w:t>Business Unit Managers and Fleet Operations review fleet operating and capital budgets</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ab/>
      </w:r>
      <w:r>
        <w:rPr>
          <w:rFonts w:cs="Arial" w:ascii="Arial" w:hAnsi="Arial"/>
          <w:b/>
          <w:i/>
          <w:sz w:val="22"/>
        </w:rPr>
        <w:t>Review of 2002 Goals and Objectives will occur during budget review meetings on October 9 and 10.</w:t>
      </w:r>
    </w:p>
    <w:p>
      <w:pPr>
        <w:pStyle w:val="Normal"/>
        <w:tabs>
          <w:tab w:val="clear" w:pos="720"/>
          <w:tab w:val="left" w:pos="1800" w:leader="none"/>
        </w:tabs>
        <w:ind w:hanging="1800" w:start="1800" w:end="0"/>
        <w:rPr>
          <w:rFonts w:ascii="Arial" w:hAnsi="Arial" w:cs="Arial"/>
          <w:sz w:val="22"/>
        </w:rPr>
      </w:pPr>
      <w:r>
        <w:rPr>
          <w:rFonts w:cs="Arial" w:ascii="Arial" w:hAnsi="Arial"/>
          <w:sz w:val="22"/>
        </w:rPr>
        <w:tab/>
      </w:r>
    </w:p>
    <w:p>
      <w:pPr>
        <w:pStyle w:val="BodyTextIndent"/>
        <w:rPr/>
      </w:pPr>
      <w:r>
        <w:rPr/>
        <w:t>October 9</w:t>
        <w:tab/>
        <w:t>Business Unit Managers review volumes, margins, marketing and admin and capital budgets (except pipeline) with Horton / Gibbs / Clayton.</w:t>
      </w:r>
    </w:p>
    <w:p>
      <w:pPr>
        <w:pStyle w:val="BodyTextIndent"/>
        <w:rPr/>
      </w:pPr>
      <w:r>
        <w:rPr/>
      </w:r>
    </w:p>
    <w:p>
      <w:pPr>
        <w:pStyle w:val="BodyTextIndent"/>
        <w:rPr/>
      </w:pPr>
      <w:r>
        <w:rPr/>
        <w:tab/>
        <w:t>Review EOTT Energy Liquids margins, operating expenses and capital budgets.</w:t>
      </w:r>
    </w:p>
    <w:p>
      <w:pPr>
        <w:pStyle w:val="Normal"/>
        <w:tabs>
          <w:tab w:val="clear" w:pos="720"/>
          <w:tab w:val="left" w:pos="1800" w:leader="none"/>
        </w:tabs>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October 10</w:t>
        <w:tab/>
        <w:t>Corporate Officers review general and administrative expense and capital budgets with Horton / Gibbs / Clayton.</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October 15</w:t>
        <w:tab/>
        <w:t>All Final Changes to budgets due to Financial Services.</w:t>
      </w:r>
    </w:p>
    <w:p>
      <w:pPr>
        <w:pStyle w:val="Normal"/>
        <w:tabs>
          <w:tab w:val="clear" w:pos="720"/>
          <w:tab w:val="left" w:pos="1800" w:leader="none"/>
        </w:tabs>
        <w:ind w:hanging="1800" w:start="1800" w:end="0"/>
        <w:rPr>
          <w:rFonts w:ascii="Arial" w:hAnsi="Arial" w:eastAsia="Arial" w:cs="Arial"/>
          <w:sz w:val="22"/>
        </w:rPr>
      </w:pPr>
      <w:r>
        <w:rPr>
          <w:rFonts w:eastAsia="Arial" w:cs="Arial" w:ascii="Arial" w:hAnsi="Arial"/>
          <w:sz w:val="22"/>
        </w:rPr>
        <w:t xml:space="preserve"> </w:t>
      </w:r>
    </w:p>
    <w:p>
      <w:pPr>
        <w:pStyle w:val="Normal"/>
        <w:tabs>
          <w:tab w:val="clear" w:pos="720"/>
          <w:tab w:val="left" w:pos="1800" w:leader="none"/>
        </w:tabs>
        <w:ind w:hanging="1800" w:start="1800" w:end="0"/>
        <w:rPr>
          <w:rFonts w:ascii="Arial" w:hAnsi="Arial" w:cs="Arial"/>
          <w:sz w:val="22"/>
        </w:rPr>
      </w:pPr>
      <w:r>
        <w:rPr>
          <w:rFonts w:cs="Arial" w:ascii="Arial" w:hAnsi="Arial"/>
          <w:sz w:val="22"/>
        </w:rPr>
        <w:t>October 18</w:t>
        <w:tab/>
        <w:t>Finalize budget.  Distribute final budget packages and obtain signoffs from Business Unit Managers and Corporate Officers</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October 30</w:t>
        <w:tab/>
        <w:t>Review final budget with Officer Group at staff meeting</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rPr>
          <w:rFonts w:ascii="Arial" w:hAnsi="Arial" w:cs="Arial"/>
          <w:sz w:val="22"/>
        </w:rPr>
      </w:pPr>
      <w:r>
        <w:rPr>
          <w:rFonts w:eastAsia="Arial" w:cs="Arial" w:ascii="Arial" w:hAnsi="Arial"/>
          <w:sz w:val="22"/>
        </w:rPr>
        <w:t xml:space="preserve"> </w:t>
      </w:r>
      <w:r>
        <w:rPr>
          <w:rFonts w:cs="Arial" w:ascii="Arial" w:hAnsi="Arial"/>
          <w:sz w:val="22"/>
        </w:rPr>
        <w:t>November 12</w:t>
        <w:tab/>
        <w:t>Present 2002 budget to EOTT Board of Directors.</w:t>
      </w:r>
    </w:p>
    <w:p>
      <w:pPr>
        <w:pStyle w:val="Normal"/>
        <w:tabs>
          <w:tab w:val="clear" w:pos="720"/>
          <w:tab w:val="left" w:pos="1800" w:leader="none"/>
        </w:tabs>
        <w:ind w:hanging="1800" w:start="1800" w:end="0"/>
        <w:rPr>
          <w:rFonts w:ascii="Arial" w:hAnsi="Arial" w:cs="Arial"/>
          <w:sz w:val="22"/>
        </w:rPr>
      </w:pPr>
      <w:r>
        <w:rPr>
          <w:rFonts w:cs="Arial" w:ascii="Arial" w:hAnsi="Arial"/>
          <w:sz w:val="22"/>
        </w:rPr>
      </w:r>
    </w:p>
    <w:p>
      <w:pPr>
        <w:pStyle w:val="Normal"/>
        <w:tabs>
          <w:tab w:val="clear" w:pos="720"/>
          <w:tab w:val="left" w:pos="1800" w:leader="none"/>
        </w:tabs>
        <w:ind w:hanging="1800" w:start="1800" w:end="0"/>
        <w:rPr>
          <w:rFonts w:ascii="Arial" w:hAnsi="Arial" w:cs="Arial"/>
          <w:sz w:val="22"/>
        </w:rPr>
      </w:pPr>
      <w:r>
        <w:rPr>
          <w:rFonts w:cs="Arial" w:ascii="Arial" w:hAnsi="Arial"/>
          <w:sz w:val="22"/>
        </w:rPr>
        <w:t>Thanks for your continued cooperation.</w:t>
      </w:r>
    </w:p>
    <w:p>
      <w:pPr>
        <w:pStyle w:val="Normal"/>
        <w:jc w:val="both"/>
        <w:rPr>
          <w:rFonts w:ascii="Arial" w:hAnsi="Arial" w:cs="Arial"/>
          <w:sz w:val="22"/>
        </w:rPr>
      </w:pPr>
      <w:r>
        <w:rPr>
          <w:rFonts w:cs="Arial" w:ascii="Arial" w:hAnsi="Arial"/>
          <w:sz w:val="22"/>
        </w:rPr>
      </w:r>
    </w:p>
    <w:p>
      <w:pPr>
        <w:pStyle w:val="Normal"/>
        <w:tabs>
          <w:tab w:val="clear" w:pos="720"/>
          <w:tab w:val="left" w:pos="360" w:leader="none"/>
          <w:tab w:val="left" w:pos="630" w:leader="none"/>
          <w:tab w:val="left" w:pos="2160" w:leader="none"/>
          <w:tab w:val="left" w:pos="4140" w:leader="none"/>
          <w:tab w:val="left" w:pos="4320" w:leader="none"/>
        </w:tabs>
        <w:jc w:val="both"/>
        <w:rPr>
          <w:rFonts w:ascii="Arial" w:hAnsi="Arial" w:cs="Arial"/>
        </w:rPr>
      </w:pPr>
      <w:r>
        <w:rPr>
          <w:rFonts w:cs="Arial" w:ascii="Arial" w:hAnsi="Arial"/>
        </w:rPr>
        <w:t>DISTRIBUTION</w:t>
        <w:tab/>
      </w:r>
    </w:p>
    <w:p>
      <w:pPr>
        <w:pStyle w:val="Normal"/>
        <w:tabs>
          <w:tab w:val="clear" w:pos="720"/>
          <w:tab w:val="left" w:pos="360" w:leader="none"/>
          <w:tab w:val="left" w:pos="630" w:leader="none"/>
          <w:tab w:val="left" w:pos="2160" w:leader="none"/>
        </w:tabs>
        <w:jc w:val="both"/>
        <w:rPr>
          <w:rFonts w:ascii="Arial" w:hAnsi="Arial" w:cs="Arial"/>
        </w:rPr>
      </w:pPr>
      <w:r>
        <w:rPr>
          <w:rFonts w:cs="Arial" w:ascii="Arial" w:hAnsi="Arial"/>
        </w:rPr>
        <w:tab/>
        <w:t>B. Brasher</w:t>
        <w:tab/>
        <w:tab/>
        <w:t>T. Meers</w:t>
        <w:tab/>
        <w:tab/>
        <w:t>D. Hultsman</w:t>
        <w:tab/>
        <w:tab/>
        <w:tab/>
      </w:r>
    </w:p>
    <w:p>
      <w:pPr>
        <w:pStyle w:val="Normal"/>
        <w:tabs>
          <w:tab w:val="clear" w:pos="720"/>
          <w:tab w:val="left" w:pos="360" w:leader="none"/>
          <w:tab w:val="left" w:pos="630" w:leader="none"/>
          <w:tab w:val="left" w:pos="2160" w:leader="none"/>
        </w:tabs>
        <w:jc w:val="both"/>
        <w:rPr>
          <w:rFonts w:ascii="Arial" w:hAnsi="Arial" w:cs="Arial"/>
        </w:rPr>
      </w:pPr>
      <w:r>
        <w:rPr>
          <w:rFonts w:cs="Arial" w:ascii="Arial" w:hAnsi="Arial"/>
        </w:rPr>
        <w:tab/>
        <w:t>M. Brassfield</w:t>
        <w:tab/>
        <w:tab/>
        <w:t>S. Myers</w:t>
        <w:tab/>
        <w:tab/>
        <w:t>K. Jackson</w:t>
        <w:tab/>
        <w:tab/>
        <w:tab/>
        <w:tab/>
        <w:tab/>
      </w:r>
    </w:p>
    <w:p>
      <w:pPr>
        <w:pStyle w:val="Normal"/>
        <w:tabs>
          <w:tab w:val="clear" w:pos="720"/>
          <w:tab w:val="left" w:pos="360" w:leader="none"/>
          <w:tab w:val="left" w:pos="630" w:leader="none"/>
          <w:tab w:val="left" w:pos="2160" w:leader="none"/>
        </w:tabs>
        <w:jc w:val="both"/>
        <w:rPr>
          <w:rFonts w:ascii="Arial" w:hAnsi="Arial" w:cs="Arial"/>
        </w:rPr>
      </w:pPr>
      <w:r>
        <w:rPr>
          <w:rFonts w:cs="Arial" w:ascii="Arial" w:hAnsi="Arial"/>
        </w:rPr>
        <w:tab/>
        <w:t>J. Berry</w:t>
        <w:tab/>
        <w:tab/>
        <w:t>J. Parmer</w:t>
        <w:tab/>
        <w:tab/>
        <w:t>B. Jacobs</w:t>
      </w:r>
    </w:p>
    <w:p>
      <w:pPr>
        <w:pStyle w:val="Normal"/>
        <w:tabs>
          <w:tab w:val="clear" w:pos="720"/>
          <w:tab w:val="left" w:pos="360" w:leader="none"/>
          <w:tab w:val="left" w:pos="630" w:leader="none"/>
          <w:tab w:val="left" w:pos="2160" w:leader="none"/>
        </w:tabs>
        <w:jc w:val="both"/>
        <w:rPr>
          <w:rFonts w:ascii="Arial" w:hAnsi="Arial" w:cs="Arial"/>
        </w:rPr>
      </w:pPr>
      <w:r>
        <w:rPr>
          <w:rFonts w:cs="Arial" w:ascii="Arial" w:hAnsi="Arial"/>
        </w:rPr>
        <w:tab/>
        <w:t>R. Border</w:t>
        <w:tab/>
        <w:tab/>
        <w:t>J.Prentice</w:t>
        <w:tab/>
        <w:tab/>
        <w:t>J. Luder</w:t>
      </w:r>
    </w:p>
    <w:p>
      <w:pPr>
        <w:pStyle w:val="Normal"/>
        <w:tabs>
          <w:tab w:val="clear" w:pos="720"/>
          <w:tab w:val="left" w:pos="360" w:leader="none"/>
          <w:tab w:val="left" w:pos="630" w:leader="none"/>
          <w:tab w:val="left" w:pos="2160" w:leader="none"/>
        </w:tabs>
        <w:jc w:val="both"/>
        <w:rPr>
          <w:rFonts w:ascii="Arial" w:hAnsi="Arial" w:cs="Arial"/>
        </w:rPr>
      </w:pPr>
      <w:r>
        <w:rPr>
          <w:rFonts w:cs="Arial" w:ascii="Arial" w:hAnsi="Arial"/>
        </w:rPr>
        <w:tab/>
        <w:t>B. Brown</w:t>
        <w:tab/>
        <w:tab/>
        <w:t>S. Ralph</w:t>
        <w:tab/>
        <w:tab/>
        <w:t>P. Fox</w:t>
      </w:r>
    </w:p>
    <w:p>
      <w:pPr>
        <w:pStyle w:val="Normal"/>
        <w:tabs>
          <w:tab w:val="clear" w:pos="720"/>
          <w:tab w:val="left" w:pos="360" w:leader="none"/>
          <w:tab w:val="left" w:pos="630" w:leader="none"/>
          <w:tab w:val="left" w:pos="2160" w:leader="none"/>
        </w:tabs>
        <w:jc w:val="both"/>
        <w:rPr>
          <w:rFonts w:ascii="Arial" w:hAnsi="Arial" w:cs="Arial"/>
        </w:rPr>
      </w:pPr>
      <w:r>
        <w:rPr>
          <w:rFonts w:cs="Arial" w:ascii="Arial" w:hAnsi="Arial"/>
        </w:rPr>
        <w:tab/>
        <w:t>L. Clayton</w:t>
        <w:tab/>
        <w:tab/>
        <w:t>J. Richards</w:t>
        <w:tab/>
        <w:tab/>
        <w:t>D. Johnson</w:t>
        <w:tab/>
      </w:r>
    </w:p>
    <w:p>
      <w:pPr>
        <w:pStyle w:val="Normal"/>
        <w:tabs>
          <w:tab w:val="clear" w:pos="720"/>
          <w:tab w:val="left" w:pos="360" w:leader="none"/>
          <w:tab w:val="left" w:pos="630" w:leader="none"/>
          <w:tab w:val="left" w:pos="2160" w:leader="none"/>
        </w:tabs>
        <w:jc w:val="both"/>
        <w:rPr>
          <w:rFonts w:ascii="Arial" w:hAnsi="Arial" w:cs="Arial"/>
        </w:rPr>
      </w:pPr>
      <w:r>
        <w:rPr>
          <w:rFonts w:cs="Arial" w:ascii="Arial" w:hAnsi="Arial"/>
        </w:rPr>
        <w:tab/>
        <w:t>D. Cole</w:t>
        <w:tab/>
        <w:tab/>
        <w:t>M. Sample</w:t>
        <w:tab/>
        <w:tab/>
        <w:t>M. Cartwright</w:t>
      </w:r>
    </w:p>
    <w:p>
      <w:pPr>
        <w:pStyle w:val="Normal"/>
        <w:tabs>
          <w:tab w:val="clear" w:pos="720"/>
          <w:tab w:val="left" w:pos="360" w:leader="none"/>
          <w:tab w:val="left" w:pos="630" w:leader="none"/>
          <w:tab w:val="left" w:pos="2160" w:leader="none"/>
        </w:tabs>
        <w:jc w:val="both"/>
        <w:rPr>
          <w:rFonts w:ascii="Arial" w:hAnsi="Arial" w:cs="Arial"/>
        </w:rPr>
      </w:pPr>
      <w:r>
        <w:rPr>
          <w:rFonts w:cs="Arial" w:ascii="Arial" w:hAnsi="Arial"/>
        </w:rPr>
        <w:tab/>
        <w:t>S. Comstock</w:t>
        <w:tab/>
        <w:tab/>
        <w:t>R. Sanford</w:t>
        <w:tab/>
        <w:tab/>
        <w:t>R. Hayslett</w:t>
        <w:tab/>
        <w:tab/>
        <w:tab/>
      </w:r>
    </w:p>
    <w:p>
      <w:pPr>
        <w:pStyle w:val="Normal"/>
        <w:tabs>
          <w:tab w:val="clear" w:pos="720"/>
          <w:tab w:val="left" w:pos="360" w:leader="none"/>
          <w:tab w:val="left" w:pos="630" w:leader="none"/>
          <w:tab w:val="left" w:pos="2160" w:leader="none"/>
        </w:tabs>
        <w:jc w:val="both"/>
        <w:rPr>
          <w:rFonts w:ascii="Arial" w:hAnsi="Arial" w:cs="Arial"/>
        </w:rPr>
      </w:pPr>
      <w:r>
        <w:rPr>
          <w:rFonts w:cs="Arial" w:ascii="Arial" w:hAnsi="Arial"/>
        </w:rPr>
        <w:tab/>
        <w:t>M. Coombe</w:t>
        <w:tab/>
        <w:tab/>
        <w:t>W. Schick</w:t>
        <w:tab/>
        <w:tab/>
        <w:t>J. Hernandez</w:t>
      </w:r>
    </w:p>
    <w:p>
      <w:pPr>
        <w:pStyle w:val="Normal"/>
        <w:tabs>
          <w:tab w:val="clear" w:pos="720"/>
          <w:tab w:val="left" w:pos="360" w:leader="none"/>
          <w:tab w:val="left" w:pos="630" w:leader="none"/>
          <w:tab w:val="left" w:pos="2160" w:leader="none"/>
        </w:tabs>
        <w:jc w:val="both"/>
        <w:rPr>
          <w:rFonts w:ascii="Arial" w:hAnsi="Arial" w:cs="Arial"/>
        </w:rPr>
      </w:pPr>
      <w:r>
        <w:rPr>
          <w:rFonts w:cs="Arial" w:ascii="Arial" w:hAnsi="Arial"/>
        </w:rPr>
        <w:tab/>
        <w:t>D. Daigle</w:t>
        <w:tab/>
        <w:tab/>
        <w:t>D. Simpson</w:t>
        <w:tab/>
        <w:tab/>
        <w:t>T. Ziegler</w:t>
      </w:r>
    </w:p>
    <w:p>
      <w:pPr>
        <w:pStyle w:val="Normal"/>
        <w:tabs>
          <w:tab w:val="clear" w:pos="720"/>
          <w:tab w:val="left" w:pos="360" w:leader="none"/>
          <w:tab w:val="left" w:pos="630" w:leader="none"/>
          <w:tab w:val="left" w:pos="2160" w:leader="none"/>
        </w:tabs>
        <w:jc w:val="both"/>
        <w:rPr>
          <w:rFonts w:ascii="Arial" w:hAnsi="Arial" w:cs="Arial"/>
        </w:rPr>
      </w:pPr>
      <w:r>
        <w:rPr>
          <w:rFonts w:cs="Arial" w:ascii="Arial" w:hAnsi="Arial"/>
        </w:rPr>
        <w:tab/>
        <w:t>D. Gibbs</w:t>
        <w:tab/>
        <w:tab/>
        <w:t>J. Trevelise</w:t>
        <w:tab/>
      </w:r>
    </w:p>
    <w:p>
      <w:pPr>
        <w:pStyle w:val="Normal"/>
        <w:tabs>
          <w:tab w:val="clear" w:pos="720"/>
          <w:tab w:val="left" w:pos="360" w:leader="none"/>
          <w:tab w:val="left" w:pos="630" w:leader="none"/>
          <w:tab w:val="left" w:pos="2160" w:leader="none"/>
        </w:tabs>
        <w:jc w:val="both"/>
        <w:rPr/>
      </w:pPr>
      <w:r>
        <w:rPr/>
        <w:tab/>
      </w:r>
    </w:p>
    <w:sectPr>
      <w:headerReference w:type="default" r:id="rId2"/>
      <w:headerReference w:type="first" r:id="rId3"/>
      <w:type w:val="nextPage"/>
      <w:pgSz w:w="12240" w:h="15840"/>
      <w:pgMar w:left="1440" w:right="1440" w:gutter="0" w:header="720" w:top="1296" w:footer="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180" w:leader="none"/>
      </w:tabs>
      <w:rPr>
        <w:rFonts w:ascii="Arial" w:hAnsi="Arial" w:cs="Arial"/>
        <w:b/>
        <w:i/>
        <w:i/>
        <w:sz w:val="18"/>
      </w:rPr>
    </w:pPr>
    <w:r>
      <w:rPr>
        <w:rFonts w:cs="Arial" w:ascii="Arial" w:hAnsi="Arial"/>
        <w:b/>
        <w:i/>
        <w:sz w:val="18"/>
      </w:rPr>
      <w:t xml:space="preserve">2001 Budget Guidelines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tabs>
        <w:tab w:val="clear" w:pos="4320"/>
        <w:tab w:val="clear" w:pos="8640"/>
        <w:tab w:val="right" w:pos="9180" w:leader="none"/>
      </w:tabs>
      <w:rPr>
        <w:rFonts w:ascii="Arial" w:hAnsi="Arial" w:cs="Arial"/>
        <w:b/>
        <w:i/>
        <w:i/>
        <w:sz w:val="18"/>
      </w:rPr>
    </w:pPr>
    <w:r>
      <w:rPr>
        <w:rFonts w:cs="Arial" w:ascii="Arial" w:hAnsi="Arial"/>
        <w:b/>
        <w:i/>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i/>
        <w:i/>
        <w:sz w:val="18"/>
      </w:rPr>
    </w:pPr>
    <w:r>
      <w:rPr>
        <w:rFonts w:cs="Arial" w:ascii="Arial" w:hAnsi="Arial"/>
        <w:b/>
        <w:i/>
        <w:sz w:val="18"/>
      </w:rPr>
      <w:t>Year 2000 Budget Guidelines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jc w:val="both"/>
      <w:outlineLvl w:val="0"/>
    </w:pPr>
    <w:rPr>
      <w:rFonts w:ascii="Arial" w:hAnsi="Arial" w:cs="Arial"/>
      <w:b/>
      <w:sz w:val="22"/>
      <w:u w:val="single"/>
    </w:rPr>
  </w:style>
  <w:style w:type="paragraph" w:styleId="Heading2">
    <w:name w:val="heading 2"/>
    <w:basedOn w:val="Normal"/>
    <w:next w:val="Normal"/>
    <w:qFormat/>
    <w:pPr>
      <w:keepNext w:val="true"/>
      <w:numPr>
        <w:ilvl w:val="1"/>
        <w:numId w:val="1"/>
      </w:numPr>
      <w:tabs>
        <w:tab w:val="clear" w:pos="720"/>
        <w:tab w:val="left" w:pos="-1440" w:leader="none"/>
        <w:tab w:val="left" w:pos="-720" w:leader="none"/>
        <w:tab w:val="left" w:pos="0" w:leader="none"/>
        <w:tab w:val="left" w:pos="437" w:leader="none"/>
        <w:tab w:val="left" w:pos="1092" w:leader="none"/>
        <w:tab w:val="right" w:pos="8633" w:leader="none"/>
      </w:tabs>
      <w:suppressAutoHyphens w:val="true"/>
      <w:spacing w:lineRule="auto" w:line="216"/>
      <w:jc w:val="center"/>
      <w:outlineLvl w:val="1"/>
    </w:pPr>
    <w:rPr>
      <w:b/>
      <w:spacing w:val="-3"/>
      <w:sz w:val="36"/>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360"/>
      <w:jc w:val="both"/>
    </w:pPr>
    <w:rPr>
      <w:rFonts w:ascii="Arial" w:hAnsi="Arial" w:cs="Arial"/>
      <w:sz w:val="22"/>
    </w:rPr>
  </w:style>
  <w:style w:type="paragraph" w:styleId="BodyTextIndent">
    <w:name w:val="Body Text Indent"/>
    <w:basedOn w:val="Normal"/>
    <w:pPr>
      <w:tabs>
        <w:tab w:val="clear" w:pos="720"/>
        <w:tab w:val="left" w:pos="1800" w:leader="none"/>
      </w:tabs>
      <w:ind w:hanging="1800" w:start="1800" w:end="0"/>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2001-08-21T22:42:00Z</dcterms:created>
  <dc:creator>EOTT Energy</dc:creator>
  <dc:description/>
  <dc:language>en-CA</dc:language>
  <cp:lastModifiedBy>Eott</cp:lastModifiedBy>
  <cp:lastPrinted>2001-08-22T17:15:00Z</cp:lastPrinted>
  <dcterms:modified xsi:type="dcterms:W3CDTF">2001-08-22T21:52:00Z</dcterms:modified>
  <cp:revision>3</cp:revision>
  <dc:subject/>
  <dc:title>To:		Distribution</dc:title>
</cp:coreProperties>
</file>