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spacing w:lineRule="auto" w:line="480"/>
        <w:ind w:hanging="0" w:start="0"/>
        <w:rPr/>
      </w:pPr>
      <w:r>
        <w:rPr/>
        <w:t>memorandum</w:t>
      </w:r>
    </w:p>
    <w:p>
      <w:pPr>
        <w:pStyle w:val="Normal"/>
        <w:spacing w:lineRule="auto" w:line="480"/>
        <w:rPr>
          <w:sz w:val="24"/>
        </w:rPr>
      </w:pPr>
      <w:r>
        <w:rPr>
          <w:sz w:val="24"/>
        </w:rPr>
      </w:r>
    </w:p>
    <w:p>
      <w:pPr>
        <w:pStyle w:val="Normal"/>
        <w:spacing w:lineRule="auto" w:line="480"/>
        <w:rPr>
          <w:sz w:val="24"/>
        </w:rPr>
      </w:pPr>
      <w:r>
        <w:rPr>
          <w:sz w:val="24"/>
        </w:rPr>
        <w:t>To:</w:t>
        <w:tab/>
        <w:tab/>
        <w:t>Board of Directors</w:t>
      </w:r>
    </w:p>
    <w:p>
      <w:pPr>
        <w:pStyle w:val="Normal"/>
        <w:spacing w:lineRule="auto" w:line="480"/>
        <w:rPr>
          <w:sz w:val="24"/>
        </w:rPr>
      </w:pPr>
      <w:r>
        <w:rPr>
          <w:sz w:val="24"/>
        </w:rPr>
        <w:t>From:</w:t>
        <w:tab/>
        <w:tab/>
        <w:t>Richard Munro</w:t>
      </w:r>
    </w:p>
    <w:p>
      <w:pPr>
        <w:pStyle w:val="Normal"/>
        <w:spacing w:lineRule="auto" w:line="480"/>
        <w:rPr>
          <w:sz w:val="24"/>
        </w:rPr>
      </w:pPr>
      <w:r>
        <w:rPr>
          <w:sz w:val="24"/>
        </w:rPr>
        <w:t>Date:</w:t>
        <w:tab/>
        <w:tab/>
        <w:t>June 7, 1989</w:t>
      </w:r>
    </w:p>
    <w:p>
      <w:pPr>
        <w:pStyle w:val="Normal"/>
        <w:spacing w:lineRule="auto" w:line="480"/>
        <w:rPr>
          <w:sz w:val="24"/>
        </w:rPr>
      </w:pPr>
      <w:r>
        <w:rPr>
          <w:sz w:val="24"/>
        </w:rPr>
        <w:t>Re:</w:t>
        <w:tab/>
        <w:tab/>
        <w:t xml:space="preserve">Emergency Meeting to Discuss Paramount’s Bid </w:t>
      </w:r>
    </w:p>
    <w:p>
      <w:pPr>
        <w:pStyle w:val="Normal"/>
        <w:pBdr>
          <w:top w:val="single" w:sz="4" w:space="1" w:color="000000"/>
        </w:pBdr>
        <w:spacing w:lineRule="auto" w:line="480"/>
        <w:rPr>
          <w:bCs/>
          <w:sz w:val="24"/>
        </w:rPr>
      </w:pPr>
      <w:r>
        <w:rPr>
          <w:bCs/>
          <w:sz w:val="24"/>
        </w:rPr>
      </w:r>
    </w:p>
    <w:p>
      <w:pPr>
        <w:pStyle w:val="Heading2"/>
        <w:spacing w:lineRule="auto" w:line="480"/>
        <w:ind w:hanging="0" w:start="0"/>
        <w:rPr/>
      </w:pPr>
      <w:r>
        <w:rPr/>
        <w:t>In advance of tomorrow’s emergency meeting to discuss the offer I received today from Paramount, I have prepared the following memo.  The memo discusses my preliminary analysis of the offer and includes my recommendation regarding how I believe the Company should respond to the offer.</w:t>
      </w:r>
    </w:p>
    <w:p>
      <w:pPr>
        <w:pStyle w:val="Heading3"/>
        <w:spacing w:lineRule="auto" w:line="480"/>
        <w:ind w:hanging="0" w:start="0"/>
        <w:rPr/>
      </w:pPr>
      <w:r>
        <w:rPr/>
        <w:t>Recommendation</w:t>
      </w:r>
    </w:p>
    <w:p>
      <w:pPr>
        <w:pStyle w:val="BodyTextIndent"/>
        <w:spacing w:lineRule="auto" w:line="480"/>
        <w:rPr>
          <w:sz w:val="24"/>
        </w:rPr>
      </w:pPr>
      <w:r>
        <w:rPr>
          <w:sz w:val="24"/>
        </w:rPr>
        <w:t>I recommend that the Company reject the Paramount offer and proceed with the Board’s initial decision to merge with Warner Communications.</w:t>
      </w:r>
    </w:p>
    <w:p>
      <w:pPr>
        <w:pStyle w:val="Heading3"/>
        <w:spacing w:lineRule="auto" w:line="480"/>
        <w:ind w:hanging="0" w:start="0"/>
        <w:rPr/>
      </w:pPr>
      <w:r>
        <w:rPr/>
        <w:t>Analysis</w:t>
      </w:r>
    </w:p>
    <w:p>
      <w:pPr>
        <w:pStyle w:val="Heading4"/>
        <w:spacing w:lineRule="auto" w:line="480"/>
        <w:ind w:hanging="0" w:start="0"/>
        <w:rPr/>
      </w:pPr>
      <w:r>
        <w:rPr/>
        <w:t>Compelling Synergies</w:t>
      </w:r>
    </w:p>
    <w:p>
      <w:pPr>
        <w:pStyle w:val="Normal"/>
        <w:spacing w:lineRule="auto" w:line="480"/>
        <w:ind w:firstLine="360" w:end="0"/>
        <w:rPr>
          <w:sz w:val="24"/>
        </w:rPr>
      </w:pPr>
      <w:r>
        <w:rPr>
          <w:sz w:val="24"/>
        </w:rPr>
        <w:t>As you recall, our management team identified a number of suitable targets with which to partner to achieve the Company’s long-term strategy of becoming a dominant media and entertainment business. Based on an extensive analysis of the benefits of merging with Columbia, Disney, Paramount, Warner, MCA and Twentieth-Century, I recommended that the Company merge with Warner.  I based that recommendation on the value of mingling our cable operations with Warner’s, tapping into Warner’s music business, and leveraging Warner’s international distribution assets and capability.</w:t>
      </w:r>
    </w:p>
    <w:p>
      <w:pPr>
        <w:pStyle w:val="BodyTextIndent2"/>
        <w:spacing w:lineRule="auto" w:line="480"/>
        <w:ind w:firstLine="360" w:start="0" w:end="0"/>
        <w:rPr/>
      </w:pPr>
      <w:r>
        <w:rPr/>
        <w:t>The Company has a strong position in the delivery of certain types of news and entertainment through our magazines, cable TV stations and cable outlets.  Warner has a strong position in the entertainment content market through production of first run movies, video cassettes and TV shows.  Warner also has a smaller but well-positioned cable outlet service.  As such, the potential synergies are compelling.  (See Exhibit 1)</w:t>
      </w:r>
    </w:p>
    <w:p>
      <w:pPr>
        <w:pStyle w:val="BodyTextIndent2"/>
        <w:spacing w:lineRule="auto" w:line="480"/>
        <w:ind w:firstLine="360" w:start="0" w:end="0"/>
        <w:rPr/>
      </w:pPr>
      <w:r>
        <w:rPr/>
        <w:t>For example, Warner could secure the ability to distribute its content through Time’s cable TV stations.  Likewise, the Company could secure content for its stations in a market that is becoming increasingly vertically integrated.  In addition, as studios become part of down stream operations, the Company could find itself locked out of the market to buy rights to air movies on its HBO pay station.  A merger with Warner would significantly reduce, or eliminate, that threat.  The proposed merger also has the potential to limit Time’s access to movies from other studios that directly compete with Warner. [[Dylan:  Not sure about this last sentence—seems to cut against the other synergies.  I might be missing something, so I’ll leave it to you.]]</w:t>
      </w:r>
    </w:p>
    <w:p>
      <w:pPr>
        <w:pStyle w:val="Heading4"/>
        <w:spacing w:lineRule="auto" w:line="480"/>
        <w:ind w:hanging="0" w:start="0"/>
        <w:rPr/>
      </w:pPr>
      <w:r>
        <w:rPr/>
        <w:t>Attractive Purchase Price</w:t>
      </w:r>
    </w:p>
    <w:p>
      <w:pPr>
        <w:pStyle w:val="BodyText"/>
        <w:spacing w:lineRule="auto" w:line="480"/>
        <w:ind w:firstLine="360" w:end="0"/>
        <w:rPr/>
      </w:pPr>
      <w:r>
        <w:rPr/>
        <w:t>Over the 52 weeks preceding the merger, Warner’s stock reached a high of 52 ¾ and a low of 32 3/8.  The Company traded in the 135 ½ to 93 during the same period. Based on that trading range, the 0.465 trade ratio offer by the Company would result in a purchase price for Warner of approximately 43 to 63 per share. (See Exhibit 2)  This price range falls below the range obtained results of our DCF analysis, which values Warner at approximately $64 to $72 per share.</w:t>
      </w:r>
      <w:r>
        <w:rPr>
          <w:rStyle w:val="FootnoteCharacters"/>
          <w:rStyle w:val="FootnoteReference"/>
        </w:rPr>
        <w:footnoteReference w:id="2"/>
      </w:r>
      <w:r>
        <w:rPr/>
        <w:t xml:space="preserve"> </w:t>
      </w:r>
    </w:p>
    <w:p>
      <w:pPr>
        <w:pStyle w:val="BodyText"/>
        <w:spacing w:lineRule="auto" w:line="480"/>
        <w:ind w:firstLine="360" w:end="0"/>
        <w:rPr/>
      </w:pPr>
      <w:r>
        <w:rPr/>
        <w:t>On June 6, the Company’s stock closed at 126.  At that level, the Company’s bid price for Warner would amount to share price, 58.59 per share—a 13% premium above Warner’s closing price on June 6</w:t>
      </w:r>
      <w:r>
        <w:rPr>
          <w:vertAlign w:val="superscript"/>
        </w:rPr>
        <w:t>th</w:t>
      </w:r>
      <w:r>
        <w:rPr/>
        <w:t>, but still well below the $64-72 range derived from out DCF analysis.</w:t>
      </w:r>
      <w:r>
        <w:rPr>
          <w:rStyle w:val="FootnoteCharacters"/>
          <w:rStyle w:val="FootnoteReference"/>
        </w:rPr>
        <w:footnoteReference w:id="3"/>
      </w:r>
      <w:r>
        <w:rPr/>
        <w:t xml:space="preserve"> </w:t>
      </w:r>
    </w:p>
    <w:p>
      <w:pPr>
        <w:pStyle w:val="BodyTextIndent3"/>
        <w:spacing w:lineRule="auto" w:line="480"/>
        <w:ind w:hanging="0" w:start="0" w:end="0"/>
        <w:rPr>
          <w:u w:val="single"/>
        </w:rPr>
      </w:pPr>
      <w:r>
        <w:rPr>
          <w:u w:val="single"/>
        </w:rPr>
        <w:t>Paramount’s Bid Is Ultimately a Defensive One</w:t>
      </w:r>
    </w:p>
    <w:p>
      <w:pPr>
        <w:pStyle w:val="BodyTextIndent3"/>
        <w:spacing w:lineRule="auto" w:line="480"/>
        <w:ind w:firstLine="360" w:start="0" w:end="0"/>
        <w:rPr/>
      </w:pPr>
      <w:r>
        <w:rPr/>
        <w:t xml:space="preserve">Paramount has a strong presence in the content development market. In addition, Paramount continues to attempt to integrate vertically throughout the entertainment industry, from production to various forms of distribution.  It has purchased movie theaters in both the US and Canada and has launched into the distribution of video cassettes.  Paramount had also attempted to diversify by purchasing magazine and book-publishing companies similar to those operated by Time, and has even acquired a financing company.  </w:t>
      </w:r>
    </w:p>
    <w:p>
      <w:pPr>
        <w:pStyle w:val="BodyTextIndent3"/>
        <w:spacing w:lineRule="auto" w:line="480"/>
        <w:ind w:firstLine="360" w:start="0" w:end="0"/>
        <w:rPr/>
      </w:pPr>
      <w:r>
        <w:rPr/>
        <w:t xml:space="preserve">Paramount does not, however, have a strong presence in cable operations.  I believe that the Company’s cable television stations and cable companies must have been particularly attractive to Paramount as a distribution network for Paramount’s content. As discussed further below, however, I believe that Paramount is deeply concerned about having to compete with the combined assets of the Company and Warner and ultimately made its offer as a defensive move.  </w:t>
      </w:r>
    </w:p>
    <w:p>
      <w:pPr>
        <w:pStyle w:val="Heading5"/>
        <w:spacing w:lineRule="auto" w:line="480"/>
        <w:ind w:hanging="0" w:start="0"/>
        <w:rPr>
          <w:sz w:val="24"/>
        </w:rPr>
      </w:pPr>
      <w:r>
        <w:rPr>
          <w:sz w:val="24"/>
        </w:rPr>
        <w:t>The Time-Warner Merger Offers Greater Value Than a Time-Paramount Combination</w:t>
      </w:r>
    </w:p>
    <w:p>
      <w:pPr>
        <w:pStyle w:val="BodyTextIndent"/>
        <w:spacing w:lineRule="auto" w:line="480"/>
        <w:rPr>
          <w:sz w:val="24"/>
        </w:rPr>
      </w:pPr>
      <w:r>
        <w:rPr>
          <w:sz w:val="24"/>
        </w:rPr>
        <w:t>Our investment bankers value the Company’s merger with Warner at $189-212/share.  This is range exceeds by a considerable margin Paramount’s $175.  Moreover, the Company’s shareholders will not realize the total $175 offer, since the capital gains that resulting from the deal would be subject to tax.</w:t>
      </w:r>
    </w:p>
    <w:p>
      <w:pPr>
        <w:pStyle w:val="BodyTextIndent"/>
        <w:spacing w:lineRule="auto" w:line="480"/>
        <w:rPr>
          <w:sz w:val="24"/>
        </w:rPr>
      </w:pPr>
      <w:r>
        <w:rPr>
          <w:sz w:val="24"/>
        </w:rPr>
        <w:t>In addition, much of the value associated with the Paramount deal is derived from the tax shield created by Paramount issuing an additional $10.7 billion of debt to finance the deal.  The business formed by the combination of Time-Warner could also create additional tax benefits by restructuring the merged companies’ capital structure. (See Exhibit 3)  In short, the merged company could capture the tax benefit of increased leverage in the same way that Paramount is attempting to do so with its offer to purchase the Company.  Indeed, I recommend that the Board direct the Finance Committee to begin immediately to examine the benefit of restructuring the combined company’s capital structure to include more leverage.  I believe that, by prudently increasing leverage, the Company can simultaneously increase shareholder value and discourage Paramount and others from making hostile bids.</w:t>
      </w:r>
    </w:p>
    <w:p>
      <w:pPr>
        <w:pStyle w:val="BodyTextIndent"/>
        <w:spacing w:lineRule="auto" w:line="480"/>
        <w:rPr>
          <w:sz w:val="24"/>
        </w:rPr>
      </w:pPr>
      <w:r>
        <w:rPr>
          <w:sz w:val="24"/>
        </w:rPr>
        <w:t>In addition, I reiterate to the Board that 41% of Paramount’s total operating profit derived from its financial subsidiary.  Financial services falls well outside the scope of the Company’s core competency, making Paramount particularly ill-suited to combine with Time.  No such incongruities exist between the Company and Warner.  Moreover, the Board has worked painstakingly to ensure a rational and strategic transition of authority subsequent to the merger.  No succession plan is included in Paramount deal, which raises questions about the degree to which a Time-Paramount deal would be successfully executed.</w:t>
      </w:r>
    </w:p>
    <w:sectPr>
      <w:footnotePr>
        <w:numFmt w:val="decimal"/>
      </w:footnote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This range results from a WAAC of 13%, and an EBIT multiple of 12 for purposes of calculating terminal value.</w:t>
      </w:r>
    </w:p>
  </w:footnote>
  <w:footnote w:id="3">
    <w:p>
      <w:pPr>
        <w:pStyle w:val="FootnoteText"/>
        <w:rPr/>
      </w:pPr>
      <w:r>
        <w:rPr>
          <w:rStyle w:val="FootnoteCharacters"/>
        </w:rPr>
        <w:footnoteRef/>
      </w:r>
      <w:r>
        <w:rPr/>
        <w:t xml:space="preserve"> </w:t>
      </w:r>
      <w:r>
        <w:rPr/>
        <w:t>The $126/share price level on June 6</w:t>
      </w:r>
      <w:r>
        <w:rPr>
          <w:vertAlign w:val="superscript"/>
        </w:rPr>
        <w:t>th</w:t>
      </w:r>
      <w:r>
        <w:rPr/>
        <w:t xml:space="preserve"> was largely due to speculation regarding the possibility of an offer by Paramount or another firm.</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b/>
      <w:bCs/>
      <w:smallCaps/>
      <w:sz w:val="24"/>
    </w:rPr>
  </w:style>
  <w:style w:type="paragraph" w:styleId="Heading2">
    <w:name w:val="heading 2"/>
    <w:basedOn w:val="Normal"/>
    <w:next w:val="Normal"/>
    <w:qFormat/>
    <w:pPr>
      <w:keepNext w:val="true"/>
      <w:numPr>
        <w:ilvl w:val="1"/>
        <w:numId w:val="1"/>
      </w:numPr>
      <w:pBdr>
        <w:top w:val="single" w:sz="4" w:space="1" w:color="000000"/>
      </w:pBdr>
      <w:outlineLvl w:val="1"/>
    </w:pPr>
    <w:rPr>
      <w:bCs/>
      <w:sz w:val="24"/>
    </w:rPr>
  </w:style>
  <w:style w:type="paragraph" w:styleId="Heading3">
    <w:name w:val="heading 3"/>
    <w:basedOn w:val="Normal"/>
    <w:next w:val="Normal"/>
    <w:qFormat/>
    <w:pPr>
      <w:keepNext w:val="true"/>
      <w:numPr>
        <w:ilvl w:val="2"/>
        <w:numId w:val="1"/>
      </w:numPr>
      <w:outlineLvl w:val="2"/>
    </w:pPr>
    <w:rPr>
      <w:b/>
      <w:bCs/>
      <w:i/>
      <w:iCs/>
      <w:sz w:val="24"/>
    </w:rPr>
  </w:style>
  <w:style w:type="paragraph" w:styleId="Heading4">
    <w:name w:val="heading 4"/>
    <w:basedOn w:val="Normal"/>
    <w:next w:val="Normal"/>
    <w:qFormat/>
    <w:pPr>
      <w:keepNext w:val="true"/>
      <w:numPr>
        <w:ilvl w:val="3"/>
        <w:numId w:val="1"/>
      </w:numPr>
      <w:outlineLvl w:val="3"/>
    </w:pPr>
    <w:rPr>
      <w:sz w:val="24"/>
      <w:u w:val="single"/>
    </w:rPr>
  </w:style>
  <w:style w:type="paragraph" w:styleId="Heading5">
    <w:name w:val="heading 5"/>
    <w:basedOn w:val="Normal"/>
    <w:next w:val="Normal"/>
    <w:qFormat/>
    <w:pPr>
      <w:keepNext w:val="true"/>
      <w:numPr>
        <w:ilvl w:val="4"/>
        <w:numId w:val="1"/>
      </w:numPr>
      <w:outlineLvl w:val="4"/>
    </w:pPr>
    <w:rPr>
      <w:sz w:val="22"/>
      <w:u w:val="single"/>
    </w:rPr>
  </w:style>
  <w:style w:type="character" w:styleId="WW8Num1z0">
    <w:name w:val="WW8Num1z0"/>
    <w:qFormat/>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2">
    <w:name w:val="Body Text Indent 2"/>
    <w:basedOn w:val="Normal"/>
    <w:qFormat/>
    <w:pPr>
      <w:ind w:hanging="360" w:start="720" w:end="0"/>
    </w:pPr>
    <w:rPr>
      <w:sz w:val="24"/>
    </w:rPr>
  </w:style>
  <w:style w:type="paragraph" w:styleId="BodyTextIndent3">
    <w:name w:val="Body Text Indent 3"/>
    <w:basedOn w:val="Normal"/>
    <w:qFormat/>
    <w:pPr>
      <w:ind w:hanging="360" w:start="360" w:end="0"/>
    </w:pPr>
    <w:rPr>
      <w:sz w:val="24"/>
    </w:rPr>
  </w:style>
  <w:style w:type="paragraph" w:styleId="FootnoteText">
    <w:name w:val="footnote text"/>
    <w:basedOn w:val="Normal"/>
    <w:pPr/>
    <w:rPr/>
  </w:style>
  <w:style w:type="paragraph" w:styleId="BodyText2">
    <w:name w:val="Body Text 2"/>
    <w:basedOn w:val="Normal"/>
    <w:qFormat/>
    <w:pPr/>
    <w:rPr>
      <w:sz w:val="22"/>
    </w:rPr>
  </w:style>
  <w:style w:type="paragraph" w:styleId="BodyTextIndent">
    <w:name w:val="Body Text Indent"/>
    <w:basedOn w:val="Normal"/>
    <w:pPr>
      <w:ind w:firstLine="360" w:start="0" w:end="0"/>
    </w:pPr>
    <w:rPr>
      <w:sz w:val="22"/>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notes" Target="footnotes.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153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2001-04-29T22:41:00Z</dcterms:created>
  <dc:creator>Dylan &amp; Julie Windham</dc:creator>
  <dc:description/>
  <dc:language>en-CA</dc:language>
  <cp:lastModifiedBy>jdasovic</cp:lastModifiedBy>
  <dcterms:modified xsi:type="dcterms:W3CDTF">2001-04-30T03:07:00Z</dcterms:modified>
  <cp:revision>27</cp:revision>
  <dc:subject/>
  <dc:title>Case 9:  Time Inc</dc:title>
</cp:coreProperties>
</file>