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center"/>
        <w:outlineLvl w:val="0"/>
        <w:rPr>
          <w:rFonts w:ascii="Arial" w:hAnsi="Arial" w:cs="Arial"/>
          <w:b/>
        </w:rPr>
      </w:pPr>
      <w:r>
        <w:rPr>
          <w:rFonts w:cs="Arial" w:ascii="Arial" w:hAnsi="Arial"/>
          <w:b/>
        </w:rPr>
        <w:t>UNITED STATES OF AMERICA</w:t>
      </w:r>
    </w:p>
    <w:p>
      <w:pPr>
        <w:pStyle w:val="Normal"/>
        <w:numPr>
          <w:ilvl w:val="0"/>
          <w:numId w:val="0"/>
        </w:numPr>
        <w:jc w:val="center"/>
        <w:outlineLvl w:val="0"/>
        <w:rPr>
          <w:rFonts w:ascii="Arial" w:hAnsi="Arial" w:cs="Arial"/>
          <w:b/>
        </w:rPr>
      </w:pPr>
      <w:r>
        <w:rPr>
          <w:rFonts w:cs="Arial" w:ascii="Arial" w:hAnsi="Arial"/>
          <w:b/>
        </w:rPr>
        <w:t>BEFORE THE</w:t>
      </w:r>
    </w:p>
    <w:p>
      <w:pPr>
        <w:pStyle w:val="Normal"/>
        <w:numPr>
          <w:ilvl w:val="0"/>
          <w:numId w:val="0"/>
        </w:numPr>
        <w:jc w:val="center"/>
        <w:outlineLvl w:val="0"/>
        <w:rPr>
          <w:rFonts w:ascii="Arial" w:hAnsi="Arial" w:cs="Arial"/>
        </w:rPr>
      </w:pPr>
      <w:r>
        <w:rPr>
          <w:rFonts w:cs="Arial" w:ascii="Arial" w:hAnsi="Arial"/>
          <w:b/>
        </w:rPr>
        <w:t>FEDERAL ENERGY REGULATORY COMMISSION</w:t>
      </w:r>
    </w:p>
    <w:tbl>
      <w:tblPr>
        <w:tblW w:w="9108" w:type="dxa"/>
        <w:jc w:val="start"/>
        <w:tblInd w:w="0" w:type="dxa"/>
        <w:tblLayout w:type="fixed"/>
        <w:tblCellMar>
          <w:top w:w="0" w:type="dxa"/>
          <w:start w:w="108" w:type="dxa"/>
          <w:bottom w:w="0" w:type="dxa"/>
          <w:end w:w="108" w:type="dxa"/>
        </w:tblCellMar>
      </w:tblPr>
      <w:tblGrid>
        <w:gridCol w:w="4968"/>
        <w:gridCol w:w="360"/>
        <w:gridCol w:w="3780"/>
      </w:tblGrid>
      <w:tr>
        <w:trPr/>
        <w:tc>
          <w:tcPr>
            <w:tcW w:w="4968" w:type="dxa"/>
            <w:tcBorders/>
          </w:tcPr>
          <w:p>
            <w:pPr>
              <w:pStyle w:val="Normal"/>
              <w:snapToGrid w:val="false"/>
              <w:rPr>
                <w:rFonts w:ascii="Arial" w:hAnsi="Arial" w:cs="Arial"/>
              </w:rPr>
            </w:pPr>
            <w:r>
              <w:rPr>
                <w:rFonts w:cs="Arial" w:ascii="Arial" w:hAnsi="Arial"/>
              </w:rPr>
            </w:r>
          </w:p>
        </w:tc>
        <w:tc>
          <w:tcPr>
            <w:tcW w:w="360"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r>
      <w:tr>
        <w:trPr/>
        <w:tc>
          <w:tcPr>
            <w:tcW w:w="4968" w:type="dxa"/>
            <w:tcBorders/>
          </w:tcPr>
          <w:p>
            <w:pPr>
              <w:pStyle w:val="Normal"/>
              <w:rPr>
                <w:rFonts w:ascii="Arial" w:hAnsi="Arial" w:cs="Arial"/>
              </w:rPr>
            </w:pPr>
            <w:r>
              <w:rPr>
                <w:rFonts w:cs="Arial" w:ascii="Arial" w:hAnsi="Arial"/>
              </w:rPr>
              <w:t>San Diego Gas &amp; Electric Company,</w:t>
            </w:r>
          </w:p>
          <w:p>
            <w:pPr>
              <w:pStyle w:val="Normal"/>
              <w:rPr>
                <w:rFonts w:ascii="Arial" w:hAnsi="Arial" w:cs="Arial"/>
              </w:rPr>
            </w:pPr>
            <w:r>
              <w:rPr>
                <w:rFonts w:cs="Arial" w:ascii="Arial" w:hAnsi="Arial"/>
              </w:rPr>
            </w:r>
          </w:p>
          <w:p>
            <w:pPr>
              <w:pStyle w:val="Normal"/>
              <w:jc w:val="end"/>
              <w:rPr>
                <w:rFonts w:ascii="Arial" w:hAnsi="Arial" w:cs="Arial"/>
              </w:rPr>
            </w:pPr>
            <w:r>
              <w:rPr>
                <w:rFonts w:cs="Arial" w:ascii="Arial" w:hAnsi="Arial"/>
              </w:rPr>
              <w:t>Complainant</w:t>
            </w:r>
          </w:p>
          <w:p>
            <w:pPr>
              <w:pStyle w:val="Normal"/>
              <w:rPr>
                <w:rFonts w:ascii="Arial" w:hAnsi="Arial" w:cs="Arial"/>
              </w:rPr>
            </w:pPr>
            <w:r>
              <w:rPr>
                <w:rFonts w:cs="Arial" w:ascii="Arial" w:hAnsi="Arial"/>
              </w:rPr>
              <w:t>v.</w:t>
            </w:r>
          </w:p>
          <w:p>
            <w:pPr>
              <w:pStyle w:val="Normal"/>
              <w:rPr>
                <w:rFonts w:ascii="Arial" w:hAnsi="Arial" w:cs="Arial"/>
              </w:rPr>
            </w:pPr>
            <w:r>
              <w:rPr>
                <w:rFonts w:cs="Arial" w:ascii="Arial" w:hAnsi="Arial"/>
              </w:rPr>
              <w:t>Sellers of Energy and Ancillary Services Into Markets Operated by the California Independent System Operator and the California Power Exchange</w:t>
            </w:r>
          </w:p>
          <w:p>
            <w:pPr>
              <w:pStyle w:val="Normal"/>
              <w:rPr>
                <w:rFonts w:ascii="Arial" w:hAnsi="Arial" w:cs="Arial"/>
              </w:rPr>
            </w:pPr>
            <w:r>
              <w:rPr>
                <w:rFonts w:cs="Arial" w:ascii="Arial" w:hAnsi="Arial"/>
              </w:rPr>
            </w:r>
          </w:p>
          <w:p>
            <w:pPr>
              <w:pStyle w:val="Normal"/>
              <w:jc w:val="end"/>
              <w:rPr>
                <w:rFonts w:ascii="Arial" w:hAnsi="Arial" w:cs="Arial"/>
              </w:rPr>
            </w:pPr>
            <w:r>
              <w:rPr>
                <w:rFonts w:cs="Arial" w:ascii="Arial" w:hAnsi="Arial"/>
              </w:rPr>
              <w:t>Respondents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Investigation of Practices of the California</w:t>
            </w:r>
          </w:p>
          <w:p>
            <w:pPr>
              <w:pStyle w:val="Normal"/>
              <w:rPr>
                <w:rFonts w:ascii="Arial" w:hAnsi="Arial" w:cs="Arial"/>
              </w:rPr>
            </w:pPr>
            <w:r>
              <w:rPr>
                <w:rFonts w:cs="Arial" w:ascii="Arial" w:hAnsi="Arial"/>
              </w:rPr>
              <w:t>Independent System Operator and the California Power Exchange</w:t>
            </w:r>
          </w:p>
          <w:p>
            <w:pPr>
              <w:pStyle w:val="Normal"/>
              <w:rPr>
                <w:rFonts w:ascii="Arial" w:hAnsi="Arial" w:cs="Arial"/>
              </w:rPr>
            </w:pPr>
            <w:r>
              <w:rPr>
                <w:rFonts w:cs="Arial" w:ascii="Arial" w:hAnsi="Arial"/>
              </w:rPr>
            </w:r>
          </w:p>
        </w:tc>
        <w:tc>
          <w:tcPr>
            <w:tcW w:w="360" w:type="dxa"/>
            <w:tcBorders/>
          </w:tcPr>
          <w:p>
            <w:pPr>
              <w:pStyle w:val="Normal"/>
              <w:rPr>
                <w:rFonts w:ascii="Arial" w:hAnsi="Arial" w:cs="Arial"/>
              </w:rPr>
            </w:pPr>
            <w:r>
              <w:rPr>
                <w:rFonts w:cs="Arial" w:ascii="Arial" w:hAnsi="Arial"/>
              </w:rPr>
              <w:t>)</w:t>
            </w:r>
          </w:p>
          <w:p>
            <w:pPr>
              <w:pStyle w:val="Normal"/>
              <w:rPr>
                <w:rFonts w:ascii="Arial" w:hAnsi="Arial" w:cs="Arial"/>
              </w:rPr>
            </w:pPr>
            <w:r>
              <w:rPr>
                <w:rFonts w:cs="Arial" w:ascii="Arial" w:hAnsi="Arial"/>
              </w:rPr>
              <w:t>)</w:t>
            </w:r>
          </w:p>
          <w:p>
            <w:pPr>
              <w:pStyle w:val="Normal"/>
              <w:rPr>
                <w:rFonts w:ascii="Arial" w:hAnsi="Arial" w:cs="Arial"/>
              </w:rPr>
            </w:pPr>
            <w:r>
              <w:rPr>
                <w:rFonts w:cs="Arial" w:ascii="Arial" w:hAnsi="Arial"/>
              </w:rPr>
              <w:t>)</w:t>
            </w:r>
          </w:p>
          <w:p>
            <w:pPr>
              <w:pStyle w:val="Normal"/>
              <w:rPr>
                <w:rFonts w:ascii="Arial" w:hAnsi="Arial" w:cs="Arial"/>
              </w:rPr>
            </w:pPr>
            <w:r>
              <w:rPr>
                <w:rFonts w:cs="Arial" w:ascii="Arial" w:hAnsi="Arial"/>
              </w:rPr>
              <w:t>)</w:t>
            </w:r>
          </w:p>
          <w:p>
            <w:pPr>
              <w:pStyle w:val="Normal"/>
              <w:rPr>
                <w:rFonts w:ascii="Arial" w:hAnsi="Arial" w:cs="Arial"/>
              </w:rPr>
            </w:pPr>
            <w:r>
              <w:rPr>
                <w:rFonts w:cs="Arial" w:ascii="Arial" w:hAnsi="Arial"/>
              </w:rPr>
              <w:t>)</w:t>
            </w:r>
          </w:p>
          <w:p>
            <w:pPr>
              <w:pStyle w:val="Normal"/>
              <w:rPr>
                <w:rFonts w:ascii="Arial" w:hAnsi="Arial" w:cs="Arial"/>
              </w:rPr>
            </w:pPr>
            <w:r>
              <w:rPr>
                <w:rFonts w:cs="Arial" w:ascii="Arial" w:hAnsi="Arial"/>
              </w:rPr>
              <w:t>)</w:t>
            </w:r>
          </w:p>
          <w:p>
            <w:pPr>
              <w:pStyle w:val="Normal"/>
              <w:rPr>
                <w:rFonts w:ascii="Arial" w:hAnsi="Arial" w:cs="Arial"/>
              </w:rPr>
            </w:pPr>
            <w:r>
              <w:rPr>
                <w:rFonts w:cs="Arial" w:ascii="Arial" w:hAnsi="Arial"/>
              </w:rPr>
              <w:t>)</w:t>
            </w:r>
          </w:p>
          <w:p>
            <w:pPr>
              <w:pStyle w:val="Normal"/>
              <w:rPr>
                <w:rFonts w:ascii="Arial" w:hAnsi="Arial" w:cs="Arial"/>
              </w:rPr>
            </w:pPr>
            <w:r>
              <w:rPr>
                <w:rFonts w:cs="Arial" w:ascii="Arial" w:hAnsi="Arial"/>
              </w:rPr>
              <w:t>)</w:t>
            </w:r>
          </w:p>
          <w:p>
            <w:pPr>
              <w:pStyle w:val="Normal"/>
              <w:rPr>
                <w:rFonts w:ascii="Arial" w:hAnsi="Arial" w:cs="Arial"/>
              </w:rPr>
            </w:pPr>
            <w:r>
              <w:rPr>
                <w:rFonts w:cs="Arial" w:ascii="Arial" w:hAnsi="Arial"/>
              </w:rPr>
              <w:t>)</w:t>
            </w:r>
          </w:p>
          <w:p>
            <w:pPr>
              <w:pStyle w:val="Normal"/>
              <w:rPr>
                <w:rFonts w:ascii="Arial" w:hAnsi="Arial" w:cs="Arial"/>
              </w:rPr>
            </w:pPr>
            <w:r>
              <w:rPr>
                <w:rFonts w:cs="Arial" w:ascii="Arial" w:hAnsi="Arial"/>
              </w:rPr>
              <w:t>)</w:t>
            </w:r>
          </w:p>
          <w:p>
            <w:pPr>
              <w:pStyle w:val="Normal"/>
              <w:rPr>
                <w:rFonts w:ascii="Arial" w:hAnsi="Arial" w:cs="Arial"/>
              </w:rPr>
            </w:pPr>
            <w:r>
              <w:rPr>
                <w:rFonts w:cs="Arial" w:ascii="Arial" w:hAnsi="Arial"/>
              </w:rPr>
              <w:t>)</w:t>
            </w:r>
          </w:p>
          <w:p>
            <w:pPr>
              <w:pStyle w:val="Normal"/>
              <w:rPr>
                <w:rFonts w:ascii="Arial" w:hAnsi="Arial" w:cs="Arial"/>
              </w:rPr>
            </w:pPr>
            <w:r>
              <w:rPr>
                <w:rFonts w:cs="Arial" w:ascii="Arial" w:hAnsi="Arial"/>
              </w:rPr>
              <w:t>)</w:t>
            </w:r>
          </w:p>
          <w:p>
            <w:pPr>
              <w:pStyle w:val="Normal"/>
              <w:rPr>
                <w:rFonts w:ascii="Arial" w:hAnsi="Arial" w:cs="Arial"/>
              </w:rPr>
            </w:pPr>
            <w:r>
              <w:rPr>
                <w:rFonts w:cs="Arial" w:ascii="Arial" w:hAnsi="Arial"/>
              </w:rPr>
              <w:t>)</w:t>
            </w:r>
          </w:p>
          <w:p>
            <w:pPr>
              <w:pStyle w:val="Normal"/>
              <w:rPr>
                <w:rFonts w:ascii="Arial" w:hAnsi="Arial" w:cs="Arial"/>
              </w:rPr>
            </w:pPr>
            <w:r>
              <w:rPr>
                <w:rFonts w:cs="Arial" w:ascii="Arial" w:hAnsi="Arial"/>
              </w:rPr>
              <w:t>)</w:t>
            </w:r>
          </w:p>
        </w:tc>
        <w:tc>
          <w:tcPr>
            <w:tcW w:w="3780" w:type="dxa"/>
            <w:tcBorders/>
          </w:tcPr>
          <w:p>
            <w:pPr>
              <w:pStyle w:val="Normal"/>
              <w:snapToGrid w:val="false"/>
              <w:rPr>
                <w:rFonts w:ascii="Arial" w:hAnsi="Arial" w:cs="Arial"/>
              </w:rPr>
            </w:pPr>
            <w:r>
              <w:rPr>
                <w:rFonts w:cs="Arial" w:ascii="Arial" w:hAnsi="Arial"/>
              </w:rPr>
            </w:r>
          </w:p>
          <w:p>
            <w:pPr>
              <w:pStyle w:val="Normal"/>
              <w:jc w:val="end"/>
              <w:rPr>
                <w:rFonts w:ascii="Arial" w:hAnsi="Arial" w:cs="Arial"/>
              </w:rPr>
            </w:pPr>
            <w:r>
              <w:rPr>
                <w:rFonts w:cs="Arial" w:ascii="Arial" w:hAnsi="Arial"/>
              </w:rPr>
              <w:t xml:space="preserve">Docket Nos. EL00-95-045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end"/>
              <w:rPr>
                <w:rFonts w:ascii="Arial" w:hAnsi="Arial" w:cs="Arial"/>
              </w:rPr>
            </w:pPr>
            <w:r>
              <w:rPr>
                <w:rFonts w:cs="Arial" w:ascii="Arial" w:hAnsi="Arial"/>
              </w:rPr>
              <w:t>EL00-98-042</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Normal"/>
        <w:numPr>
          <w:ilvl w:val="0"/>
          <w:numId w:val="0"/>
        </w:numPr>
        <w:jc w:val="center"/>
        <w:outlineLvl w:val="0"/>
        <w:rPr>
          <w:rFonts w:ascii="Arial" w:hAnsi="Arial" w:cs="Arial"/>
          <w:b/>
        </w:rPr>
      </w:pPr>
      <w:bookmarkStart w:id="0" w:name="Title"/>
      <w:bookmarkEnd w:id="0"/>
      <w:r>
        <w:rPr>
          <w:rFonts w:cs="Arial" w:ascii="Arial" w:hAnsi="Arial"/>
          <w:b/>
        </w:rPr>
        <w:t xml:space="preserve">RESPONSES AND OBJECTIONS OF </w:t>
      </w:r>
    </w:p>
    <w:p>
      <w:pPr>
        <w:pStyle w:val="Normal"/>
        <w:numPr>
          <w:ilvl w:val="0"/>
          <w:numId w:val="0"/>
        </w:numPr>
        <w:jc w:val="center"/>
        <w:outlineLvl w:val="0"/>
        <w:rPr>
          <w:rFonts w:ascii="Arial" w:hAnsi="Arial" w:cs="Arial"/>
          <w:b/>
        </w:rPr>
      </w:pPr>
      <w:r>
        <w:rPr>
          <w:rFonts w:cs="Arial" w:ascii="Arial" w:hAnsi="Arial"/>
          <w:b/>
        </w:rPr>
        <w:t xml:space="preserve">PPL MONTANA, LLC AND PPL ENERGYPLUS, LLC </w:t>
      </w:r>
    </w:p>
    <w:p>
      <w:pPr>
        <w:pStyle w:val="Normal"/>
        <w:numPr>
          <w:ilvl w:val="0"/>
          <w:numId w:val="0"/>
        </w:numPr>
        <w:jc w:val="center"/>
        <w:outlineLvl w:val="0"/>
        <w:rPr>
          <w:rFonts w:ascii="Arial" w:hAnsi="Arial" w:cs="Arial"/>
          <w:b/>
        </w:rPr>
      </w:pPr>
      <w:r>
        <w:rPr>
          <w:rFonts w:cs="Arial" w:ascii="Arial" w:hAnsi="Arial"/>
          <w:b/>
        </w:rPr>
        <w:t xml:space="preserve">TO THE COMMISSION STAFF’S THIRD SET OF DATA REQUESTS </w:t>
      </w:r>
    </w:p>
    <w:p>
      <w:pPr>
        <w:pStyle w:val="Normal"/>
        <w:numPr>
          <w:ilvl w:val="0"/>
          <w:numId w:val="0"/>
        </w:numPr>
        <w:jc w:val="center"/>
        <w:outlineLvl w:val="0"/>
        <w:rPr>
          <w:rFonts w:ascii="Arial" w:hAnsi="Arial" w:cs="Arial"/>
          <w:b/>
        </w:rPr>
      </w:pPr>
      <w:r>
        <w:rPr>
          <w:rFonts w:cs="Arial" w:ascii="Arial" w:hAnsi="Arial"/>
          <w:b/>
        </w:rPr>
      </w:r>
    </w:p>
    <w:p>
      <w:pPr>
        <w:pStyle w:val="Normal"/>
        <w:numPr>
          <w:ilvl w:val="0"/>
          <w:numId w:val="0"/>
        </w:numPr>
        <w:spacing w:lineRule="auto" w:line="480"/>
        <w:ind w:firstLine="720" w:end="0"/>
        <w:jc w:val="both"/>
        <w:outlineLvl w:val="0"/>
        <w:rPr>
          <w:rFonts w:ascii="Arial" w:hAnsi="Arial" w:cs="Arial"/>
        </w:rPr>
      </w:pPr>
      <w:r>
        <w:rPr>
          <w:rFonts w:cs="Arial" w:ascii="Arial" w:hAnsi="Arial"/>
        </w:rPr>
        <w:t xml:space="preserve">PPL Montana, LLC (“PPL Montana”) and PPL EnergyPlus, LLC (“PPL EnergyPlus”)(collectively, “PPL” or “the PPL Parties”) respectfully object and/or respond to the Third Set of Data Requests propounded by the Commission’s staff on November 16, 2001.   </w:t>
      </w:r>
    </w:p>
    <w:p>
      <w:pPr>
        <w:pStyle w:val="Heading1"/>
        <w:ind w:hanging="0" w:start="0"/>
        <w:rPr>
          <w:rFonts w:ascii="Arial" w:hAnsi="Arial" w:cs="Arial"/>
          <w:sz w:val="24"/>
        </w:rPr>
      </w:pPr>
      <w:r>
        <w:rPr>
          <w:rFonts w:cs="Arial" w:ascii="Arial" w:hAnsi="Arial"/>
          <w:sz w:val="24"/>
        </w:rPr>
        <w:t>general objections</w:t>
      </w:r>
    </w:p>
    <w:p>
      <w:pPr>
        <w:pStyle w:val="Normal"/>
        <w:tabs>
          <w:tab w:val="left" w:pos="720" w:leader="none"/>
        </w:tabs>
        <w:spacing w:lineRule="auto" w:line="480"/>
        <w:ind w:start="720" w:end="0"/>
        <w:jc w:val="both"/>
        <w:rPr>
          <w:rFonts w:ascii="Arial" w:hAnsi="Arial" w:cs="Arial"/>
        </w:rPr>
      </w:pPr>
      <w:r>
        <w:rPr>
          <w:rFonts w:cs="Arial" w:ascii="Arial" w:hAnsi="Arial"/>
        </w:rPr>
        <w:t>A.</w:t>
        <w:tab/>
        <w:t xml:space="preserve">The PPL parties object to the requests to the extent they purport to require information, data and documents beyond the reasonable scope of this proceeding or impose on undue burden on it. </w:t>
      </w:r>
    </w:p>
    <w:p>
      <w:pPr>
        <w:pStyle w:val="Normal"/>
        <w:tabs>
          <w:tab w:val="left" w:pos="720" w:leader="none"/>
        </w:tabs>
        <w:spacing w:lineRule="auto" w:line="480"/>
        <w:ind w:hanging="720" w:start="720" w:end="0"/>
        <w:jc w:val="both"/>
        <w:rPr>
          <w:rFonts w:ascii="Arial" w:hAnsi="Arial" w:cs="Arial"/>
        </w:rPr>
      </w:pPr>
      <w:r>
        <w:rPr>
          <w:rFonts w:cs="Arial" w:ascii="Arial" w:hAnsi="Arial"/>
        </w:rPr>
        <w:tab/>
        <w:t>B.</w:t>
        <w:tab/>
        <w:t xml:space="preserve">The PPL parties object to the extent the staff requests information already in the staff’s possession or in the possession of another party to the  proceeding.  </w:t>
      </w:r>
    </w:p>
    <w:p>
      <w:pPr>
        <w:pStyle w:val="Normal"/>
        <w:tabs>
          <w:tab w:val="left" w:pos="720" w:leader="none"/>
        </w:tabs>
        <w:spacing w:lineRule="auto" w:line="480"/>
        <w:ind w:hanging="720" w:start="720" w:end="0"/>
        <w:jc w:val="both"/>
        <w:rPr>
          <w:rFonts w:ascii="Arial" w:hAnsi="Arial" w:cs="Arial"/>
        </w:rPr>
      </w:pPr>
      <w:r>
        <w:rPr>
          <w:rFonts w:cs="Arial" w:ascii="Arial" w:hAnsi="Arial"/>
        </w:rPr>
        <w:tab/>
        <w:t>C.</w:t>
        <w:tab/>
        <w:t>The PPL parties object to the requests to the extent they seek the production of materials not in its possession or control</w:t>
      </w:r>
    </w:p>
    <w:p>
      <w:pPr>
        <w:pStyle w:val="Normal"/>
        <w:tabs>
          <w:tab w:val="left" w:pos="720" w:leader="none"/>
        </w:tabs>
        <w:spacing w:lineRule="auto" w:line="480"/>
        <w:ind w:hanging="720" w:start="720" w:end="0"/>
        <w:jc w:val="both"/>
        <w:rPr>
          <w:rFonts w:ascii="Arial" w:hAnsi="Arial" w:cs="Arial"/>
        </w:rPr>
      </w:pPr>
      <w:r>
        <w:rPr>
          <w:rFonts w:cs="Arial" w:ascii="Arial" w:hAnsi="Arial"/>
        </w:rPr>
        <w:tab/>
        <w:t>D.</w:t>
        <w:tab/>
        <w:t xml:space="preserve">All general objections apply to each data request for which a specific objection is stated below, notwithstanding not being repeated therein. </w:t>
      </w:r>
    </w:p>
    <w:p>
      <w:pPr>
        <w:pStyle w:val="Normal"/>
        <w:rPr>
          <w:rFonts w:ascii="Arial" w:hAnsi="Arial" w:cs="Arial"/>
          <w:b/>
        </w:rPr>
      </w:pPr>
      <w:r>
        <w:rPr>
          <w:rFonts w:cs="Arial" w:ascii="Arial" w:hAnsi="Arial"/>
          <w:b/>
        </w:rPr>
        <w:t>II</w:t>
        <w:tab/>
        <w:t>RESPONSES AND SPECIFIC OBJECTIONS</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b/>
        </w:rPr>
        <w:t>Staff/PPL-9</w:t>
      </w:r>
    </w:p>
    <w:p>
      <w:pPr>
        <w:pStyle w:val="Normal"/>
        <w:rPr>
          <w:rFonts w:ascii="Arial" w:hAnsi="Arial" w:cs="Arial"/>
        </w:rPr>
      </w:pPr>
      <w:r>
        <w:rPr>
          <w:rFonts w:cs="Arial" w:ascii="Arial" w:hAnsi="Arial"/>
        </w:rPr>
      </w:r>
    </w:p>
    <w:p>
      <w:pPr>
        <w:pStyle w:val="Normal"/>
        <w:spacing w:lineRule="auto" w:line="480"/>
        <w:ind w:firstLine="720" w:end="0"/>
        <w:rPr>
          <w:rFonts w:ascii="Arial" w:hAnsi="Arial" w:cs="Arial"/>
        </w:rPr>
      </w:pPr>
      <w:r>
        <w:rPr>
          <w:rFonts w:cs="Arial" w:ascii="Arial" w:hAnsi="Arial"/>
        </w:rPr>
        <w:t>Referring to Exhibit No. PPL-9, page 3, lines 10-16 and page 4, lines 7-10, does PPLM have a phone log of the conversation between the California ISO representative and PPLM’s representative entering into the January 2, 2001 OOM transactions?  If yes, please provide.</w:t>
      </w:r>
    </w:p>
    <w:p>
      <w:pPr>
        <w:pStyle w:val="Normal"/>
        <w:spacing w:lineRule="auto" w:line="480"/>
        <w:ind w:firstLine="720" w:end="0"/>
        <w:rPr>
          <w:rFonts w:ascii="Arial" w:hAnsi="Arial" w:cs="Arial"/>
        </w:rPr>
      </w:pPr>
      <w:r>
        <w:rPr>
          <w:rFonts w:cs="Arial" w:ascii="Arial" w:hAnsi="Arial"/>
        </w:rPr>
        <w:t>RESPONSE:</w:t>
        <w:tab/>
        <w:tab/>
        <w:t>The PPL parties object to this request on the grounds that it would not  produce any information that relates to an existing  factual dispute  in this proceeding.  PPL, through its witness, Bryan C. Bradshaw (PPL-9) provided a confirmation notice faxed to the California ISO on January 2, 2001  (PPL-12) that confirms the existence and terms of these January 2, 2001 OOM transactions, as well as the fact that they were expressly made subject to Section 202 (c) of the Federal Power Act.  PPL has also provided with Mr. Bradshaw’s testimony settlement data generated by the ISO confirming that the transactions occurred, and confirming that their terms were as testified to by PPL.   The ISO’s representative, Ean O’Neill, has acknowledged in a conference call on November 20, 2001 that the ISO agrees with PPLM’s testimony setting out the dates, amounts and prices of  each of its DOE sales, specifically including January 2, 2001, and agrees that each transaction  was  in fact made pursuant to Section 202 (c).</w:t>
      </w:r>
    </w:p>
    <w:p>
      <w:pPr>
        <w:pStyle w:val="Normal"/>
        <w:spacing w:lineRule="auto" w:line="480"/>
        <w:ind w:firstLine="720" w:end="0"/>
        <w:rPr>
          <w:rFonts w:ascii="Arial" w:hAnsi="Arial" w:cs="Arial"/>
        </w:rPr>
      </w:pPr>
      <w:r>
        <w:rPr>
          <w:rFonts w:cs="Arial" w:ascii="Arial" w:hAnsi="Arial"/>
        </w:rPr>
        <w:t>Given this undisputed evidence, there is no basis to put the PPL parties through the unnecessary burden of obtaining and producing any phone log(s) of the conversation(s) concerning these sales.</w:t>
      </w:r>
      <w:r>
        <w:br w:type="page"/>
      </w:r>
    </w:p>
    <w:p>
      <w:pPr>
        <w:pStyle w:val="Normal"/>
        <w:spacing w:lineRule="auto" w:line="480"/>
        <w:ind w:firstLine="720" w:end="0"/>
        <w:rPr>
          <w:rFonts w:ascii="Arial" w:hAnsi="Arial" w:cs="Arial"/>
        </w:rPr>
      </w:pPr>
      <w:r>
        <w:rPr>
          <w:rFonts w:cs="Arial" w:ascii="Arial" w:hAnsi="Arial"/>
        </w:rPr>
      </w:r>
    </w:p>
    <w:p>
      <w:pPr>
        <w:pStyle w:val="Normal"/>
        <w:spacing w:lineRule="auto" w:line="480"/>
        <w:rPr>
          <w:rFonts w:ascii="Arial" w:hAnsi="Arial" w:cs="Arial"/>
        </w:rPr>
      </w:pPr>
      <w:r>
        <w:rPr>
          <w:rFonts w:cs="Arial" w:ascii="Arial" w:hAnsi="Arial"/>
          <w:b/>
        </w:rPr>
        <w:t>Staff/PPL-10</w:t>
      </w:r>
    </w:p>
    <w:p>
      <w:pPr>
        <w:pStyle w:val="Normal"/>
        <w:spacing w:lineRule="auto" w:line="480"/>
        <w:ind w:firstLine="720" w:end="0"/>
        <w:rPr>
          <w:rFonts w:ascii="Arial" w:hAnsi="Arial" w:cs="Arial"/>
        </w:rPr>
      </w:pPr>
      <w:r>
        <w:rPr>
          <w:rFonts w:cs="Arial" w:ascii="Arial" w:hAnsi="Arial"/>
        </w:rPr>
        <w:t>Referring to Exhibit PPL-10, PPLM shows a price of $300 for December 21, 2000, hour start 13.  California ISO Exhibit No. ISO-15 shows a price of $600.  Please reconcile this discrepancy.</w:t>
      </w:r>
    </w:p>
    <w:p>
      <w:pPr>
        <w:pStyle w:val="Normal"/>
        <w:spacing w:lineRule="auto" w:line="480"/>
        <w:ind w:firstLine="720" w:end="0"/>
        <w:rPr>
          <w:rFonts w:ascii="Arial" w:hAnsi="Arial" w:cs="Arial"/>
        </w:rPr>
      </w:pPr>
      <w:r>
        <w:rPr>
          <w:rFonts w:cs="Arial" w:ascii="Arial" w:hAnsi="Arial"/>
        </w:rPr>
      </w:r>
    </w:p>
    <w:p>
      <w:pPr>
        <w:pStyle w:val="Normal"/>
        <w:spacing w:lineRule="auto" w:line="480"/>
        <w:ind w:firstLine="720" w:end="0"/>
        <w:rPr>
          <w:rFonts w:ascii="Arial" w:hAnsi="Arial" w:cs="Arial"/>
        </w:rPr>
      </w:pPr>
      <w:r>
        <w:rPr>
          <w:rFonts w:cs="Arial" w:ascii="Arial" w:hAnsi="Arial"/>
        </w:rPr>
        <w:t>RESPONSE:</w:t>
        <w:tab/>
        <w:tab/>
        <w:t xml:space="preserve">The PPL parties have reviewed their data and determined that the $600 price stated in California ISO Exhibit No. ISO-15 is accurate.  </w:t>
      </w:r>
    </w:p>
    <w:p>
      <w:pPr>
        <w:pStyle w:val="Normal"/>
        <w:spacing w:lineRule="auto" w:line="480"/>
        <w:ind w:firstLine="720" w:end="0"/>
        <w:rPr>
          <w:rFonts w:ascii="Arial" w:hAnsi="Arial" w:cs="Arial"/>
        </w:rPr>
      </w:pPr>
      <w:r>
        <w:rPr>
          <w:rFonts w:cs="Arial" w:ascii="Arial" w:hAnsi="Arial"/>
        </w:rPr>
        <w:t xml:space="preserve">The $300 figure had been included in PPLM’s transaction confirmation fax erroneously.   A subsequent communication between PPLM and the California ISO confirmed the actual price of $600.  The ISO agreed to update its settlement sheets to reflect the accurate $600 price, and stated that PPLM did not need to send a corrected confirmation fax.  ISO settlement sheets produced in this litigation do, in fact, show the correct price of $600.  </w:t>
      </w:r>
    </w:p>
    <w:p>
      <w:pPr>
        <w:pStyle w:val="Normal"/>
        <w:spacing w:lineRule="auto" w:line="480"/>
        <w:ind w:firstLine="720" w:end="0"/>
        <w:rPr>
          <w:rFonts w:ascii="Arial" w:hAnsi="Arial" w:cs="Arial"/>
        </w:rPr>
      </w:pPr>
      <w:r>
        <w:rPr>
          <w:rFonts w:cs="Arial" w:ascii="Arial" w:hAnsi="Arial"/>
        </w:rPr>
        <w:t>Attached to these responses is a copy of the communications between the California ISO and PPLM confirming the $600 price.</w:t>
      </w:r>
    </w:p>
    <w:p>
      <w:pPr>
        <w:pStyle w:val="Normal"/>
        <w:spacing w:lineRule="auto" w:line="480"/>
        <w:ind w:firstLine="720" w:end="0"/>
        <w:rPr>
          <w:rFonts w:ascii="Arial" w:hAnsi="Arial" w:cs="Arial"/>
        </w:rPr>
      </w:pPr>
      <w:r>
        <w:rPr>
          <w:rFonts w:cs="Arial" w:ascii="Arial" w:hAnsi="Arial"/>
        </w:rPr>
        <w:t>The transaction was for hour ending 13, not hour start 13.</w:t>
      </w:r>
      <w:r>
        <w:br w:type="page"/>
      </w:r>
    </w:p>
    <w:p>
      <w:pPr>
        <w:pStyle w:val="Normal"/>
        <w:spacing w:lineRule="auto" w:line="480"/>
        <w:rPr>
          <w:rFonts w:ascii="Arial" w:hAnsi="Arial" w:cs="Arial"/>
        </w:rPr>
      </w:pPr>
      <w:r>
        <w:rPr>
          <w:rFonts w:cs="Arial" w:ascii="Arial" w:hAnsi="Arial"/>
        </w:rPr>
      </w:r>
    </w:p>
    <w:p>
      <w:pPr>
        <w:pStyle w:val="Normal"/>
        <w:spacing w:lineRule="auto" w:line="480"/>
        <w:rPr>
          <w:rFonts w:ascii="Arial" w:hAnsi="Arial" w:cs="Arial"/>
          <w:b/>
        </w:rPr>
      </w:pPr>
      <w:r>
        <w:rPr>
          <w:rFonts w:cs="Arial" w:ascii="Arial" w:hAnsi="Arial"/>
          <w:b/>
        </w:rPr>
        <w:t>Staff/PPL-11</w:t>
      </w:r>
    </w:p>
    <w:p>
      <w:pPr>
        <w:pStyle w:val="Normal"/>
        <w:spacing w:lineRule="auto" w:line="480"/>
        <w:ind w:firstLine="720" w:end="0"/>
        <w:rPr>
          <w:rFonts w:ascii="Arial" w:hAnsi="Arial" w:cs="Arial"/>
        </w:rPr>
      </w:pPr>
      <w:r>
        <w:rPr>
          <w:rFonts w:cs="Arial" w:ascii="Arial" w:hAnsi="Arial"/>
        </w:rPr>
        <w:t>Referring to Exhibit PPL-10, PPLM shows for January 9, 2001, hourly prices ranging from $135 to $158.18.  California ISO Exhibit No. ISO-15 shows a price of $64.</w:t>
      </w:r>
    </w:p>
    <w:p>
      <w:pPr>
        <w:pStyle w:val="Normal"/>
        <w:tabs>
          <w:tab w:val="clear" w:pos="720"/>
          <w:tab w:val="left" w:pos="-1440" w:leader="none"/>
        </w:tabs>
        <w:spacing w:lineRule="auto" w:line="480"/>
        <w:ind w:hanging="720" w:start="720" w:end="0"/>
        <w:rPr>
          <w:rFonts w:ascii="Arial" w:hAnsi="Arial" w:cs="Arial"/>
        </w:rPr>
      </w:pPr>
      <w:r>
        <w:rPr>
          <w:rFonts w:cs="Arial" w:ascii="Arial" w:hAnsi="Arial"/>
        </w:rPr>
        <w:tab/>
        <w:t>a)</w:t>
        <w:tab/>
        <w:t>Please reconcile this discrepancy.</w:t>
      </w:r>
    </w:p>
    <w:p>
      <w:pPr>
        <w:pStyle w:val="Normal"/>
        <w:spacing w:lineRule="auto" w:line="480"/>
        <w:ind w:start="720" w:end="0"/>
        <w:rPr>
          <w:rFonts w:ascii="Arial" w:hAnsi="Arial" w:cs="Arial"/>
        </w:rPr>
      </w:pPr>
      <w:r>
        <w:rPr>
          <w:rFonts w:cs="Arial" w:ascii="Arial" w:hAnsi="Arial"/>
        </w:rPr>
        <w:t>b)</w:t>
        <w:tab/>
        <w:t>The January 5, 2001 DOE Order established a $64/MWh limit on the price the California ISO could agree upon for its requested energy or service pursuant to the DOE Orders.  For each hour that PPLM claims the price exceeded $64/MWh, did PPLM ask the California ISO to refer the rate issue to FERC?  If no, please explain.</w:t>
      </w:r>
    </w:p>
    <w:p>
      <w:pPr>
        <w:pStyle w:val="Footer"/>
        <w:ind w:hanging="0" w:end="0"/>
        <w:rPr>
          <w:rFonts w:ascii="Arial" w:hAnsi="Arial" w:cs="Arial"/>
        </w:rPr>
      </w:pPr>
      <w:r>
        <w:rPr>
          <w:rFonts w:cs="Arial"/>
        </w:rPr>
      </w:r>
    </w:p>
    <w:p>
      <w:pPr>
        <w:pStyle w:val="Footer"/>
        <w:ind w:hanging="0" w:end="0"/>
        <w:rPr/>
      </w:pPr>
      <w:r>
        <w:rPr>
          <w:rFonts w:eastAsia="Arial"/>
        </w:rPr>
        <w:t xml:space="preserve">       </w:t>
      </w:r>
      <w:r>
        <w:rPr/>
        <w:t xml:space="preserve">RESPONSE:       </w:t>
      </w:r>
    </w:p>
    <w:p>
      <w:pPr>
        <w:pStyle w:val="Footer"/>
        <w:ind w:hanging="0" w:end="0"/>
        <w:rPr/>
      </w:pPr>
      <w:r>
        <w:rPr/>
        <w:tab/>
        <w:t xml:space="preserve">       (a)        The $64 price is incorrectly listed by  the California ISO on its OOM sheet for January 9, 2001 submitted as part of its Exhibit No. 15.  The California ISO’s settlement data submitted in this litigation shows prices of $135 for hour 10, $150 for hours 11-16 and 19, and  $158.18 for hour 18.   These prices are the same as those set forth in Exhibit PPL-10, except that for hours 16 and 18 the ISO data appears to have erroneously deducted $64 from those prices.    </w:t>
      </w:r>
    </w:p>
    <w:p>
      <w:pPr>
        <w:pStyle w:val="Footer"/>
        <w:ind w:hanging="0" w:end="0"/>
        <w:rPr/>
      </w:pPr>
      <w:r>
        <w:rPr>
          <w:rFonts w:eastAsia="Arial"/>
        </w:rPr>
        <w:t xml:space="preserve">       </w:t>
      </w:r>
      <w:r>
        <w:rPr/>
        <w:t xml:space="preserve">(b)               Yes.  </w:t>
      </w:r>
      <w:r>
        <w:br w:type="page"/>
      </w:r>
    </w:p>
    <w:p>
      <w:pPr>
        <w:pStyle w:val="Footer"/>
        <w:ind w:hanging="0" w:start="720" w:end="0"/>
        <w:rPr/>
      </w:pPr>
      <w:r>
        <w:rPr/>
        <w:t>Information contained in Each Response Was Obtained From:   Bryan Bradshaw; Rose Spear</w:t>
      </w:r>
    </w:p>
    <w:p>
      <w:pPr>
        <w:pStyle w:val="Footer"/>
        <w:ind w:hanging="0" w:end="0"/>
        <w:rPr/>
      </w:pPr>
      <w:r>
        <w:rPr>
          <w:rFonts w:eastAsia="Arial"/>
        </w:rPr>
        <w:t xml:space="preserve">            </w:t>
      </w:r>
      <w:r>
        <w:rPr/>
        <w:t>Responses Prepared By: counsel .</w:t>
      </w:r>
    </w:p>
    <w:p>
      <w:pPr>
        <w:pStyle w:val="Footer"/>
        <w:ind w:hanging="0" w:end="0"/>
        <w:rPr/>
      </w:pPr>
      <w:r>
        <w:rPr>
          <w:rFonts w:eastAsia="Arial"/>
        </w:rPr>
        <w:t xml:space="preserve">            </w:t>
      </w:r>
      <w:r>
        <w:rPr/>
        <w:t>Responses Reviewed By:   Bryan Bradshaw; Rose Spear</w:t>
      </w:r>
    </w:p>
    <w:p>
      <w:pPr>
        <w:pStyle w:val="Footer"/>
        <w:ind w:hanging="0" w:start="720" w:end="0"/>
        <w:rPr/>
      </w:pPr>
      <w:r>
        <w:rPr/>
        <w:t xml:space="preserve">Person Responsible for Truth of Response:  Bryan Bradshaw; counsel </w:t>
      </w:r>
    </w:p>
    <w:p>
      <w:pPr>
        <w:pStyle w:val="Footer"/>
        <w:ind w:hanging="0" w:end="0"/>
        <w:rPr/>
      </w:pPr>
      <w:r>
        <w:rPr/>
      </w:r>
      <w:r>
        <w:br w:type="page"/>
      </w:r>
    </w:p>
    <w:p>
      <w:pPr>
        <w:pStyle w:val="BodyText"/>
        <w:spacing w:lineRule="auto" w:line="360"/>
        <w:jc w:val="center"/>
        <w:rPr>
          <w:rFonts w:ascii="Arial" w:hAnsi="Arial" w:cs="Arial"/>
          <w:b/>
        </w:rPr>
      </w:pPr>
      <w:r>
        <w:rPr>
          <w:rFonts w:cs="Arial" w:ascii="Arial" w:hAnsi="Arial"/>
          <w:b/>
        </w:rPr>
      </w:r>
    </w:p>
    <w:p>
      <w:pPr>
        <w:pStyle w:val="BodyText"/>
        <w:spacing w:lineRule="auto" w:line="360"/>
        <w:jc w:val="center"/>
        <w:rPr>
          <w:rFonts w:ascii="Arial" w:hAnsi="Arial" w:cs="Arial"/>
          <w:b/>
        </w:rPr>
      </w:pPr>
      <w:r>
        <w:rPr>
          <w:rFonts w:cs="Arial" w:ascii="Arial" w:hAnsi="Arial"/>
          <w:b/>
        </w:rPr>
        <w:t>CERTIFICATION</w:t>
      </w:r>
    </w:p>
    <w:p>
      <w:pPr>
        <w:pStyle w:val="Normal"/>
        <w:rPr>
          <w:rFonts w:ascii="Arial" w:hAnsi="Arial" w:cs="Arial"/>
        </w:rPr>
      </w:pPr>
      <w:r>
        <w:rPr>
          <w:rFonts w:cs="Arial" w:ascii="Arial" w:hAnsi="Arial"/>
        </w:rPr>
        <w:t>I,  John Longstreth, on behalf of PPL Montana, LLC and PPL Energy Plus LLC certify and state that the foregoing responses were prepared under my direct supervision and that these responses are true and correct to the best of my knowledge, information and belief.</w:t>
      </w:r>
    </w:p>
    <w:p>
      <w:pPr>
        <w:pStyle w:val="Normal"/>
        <w:rPr>
          <w:rFonts w:ascii="Arial" w:hAnsi="Arial" w:cs="Arial"/>
          <w:b/>
        </w:rPr>
      </w:pPr>
      <w:r>
        <w:rPr>
          <w:rFonts w:cs="Arial" w:ascii="Arial" w:hAnsi="Arial"/>
          <w:b/>
        </w:rPr>
      </w:r>
    </w:p>
    <w:p>
      <w:pPr>
        <w:pStyle w:val="Normal"/>
        <w:ind w:start="4320" w:end="0"/>
        <w:rPr>
          <w:rFonts w:ascii="Arial" w:hAnsi="Arial" w:cs="Arial"/>
        </w:rPr>
      </w:pPr>
      <w:r>
        <w:rPr>
          <w:rFonts w:cs="Arial" w:ascii="Arial" w:hAnsi="Arial"/>
        </w:rPr>
        <w:t>______/s/_____________________</w:t>
      </w:r>
    </w:p>
    <w:p>
      <w:pPr>
        <w:pStyle w:val="Normal"/>
        <w:ind w:start="4320" w:end="0"/>
        <w:rPr>
          <w:rFonts w:ascii="Arial" w:hAnsi="Arial" w:cs="Arial"/>
        </w:rPr>
      </w:pPr>
      <w:r>
        <w:rPr>
          <w:rFonts w:cs="Arial" w:ascii="Arial" w:hAnsi="Arial"/>
        </w:rPr>
        <w:t>John Longstreth</w:t>
      </w:r>
    </w:p>
    <w:p>
      <w:pPr>
        <w:pStyle w:val="Signature"/>
        <w:widowControl w:val="false"/>
        <w:tabs>
          <w:tab w:val="left" w:pos="4680" w:leader="none"/>
          <w:tab w:val="left" w:pos="5220" w:leader="none"/>
        </w:tabs>
        <w:spacing w:lineRule="auto" w:line="240"/>
        <w:ind w:start="4032" w:end="0"/>
        <w:rPr>
          <w:rFonts w:ascii="Arial" w:hAnsi="Arial" w:cs="Arial"/>
          <w:i/>
          <w:i/>
        </w:rPr>
      </w:pPr>
      <w:r>
        <w:rPr>
          <w:rFonts w:cs="Arial"/>
          <w:i/>
        </w:rPr>
      </w:r>
    </w:p>
    <w:p>
      <w:pPr>
        <w:pStyle w:val="Signature"/>
        <w:widowControl w:val="false"/>
        <w:tabs>
          <w:tab w:val="left" w:pos="1440" w:leader="none"/>
          <w:tab w:val="left" w:pos="4320" w:leader="none"/>
          <w:tab w:val="left" w:pos="4680" w:leader="none"/>
          <w:tab w:val="left" w:pos="5220" w:leader="none"/>
        </w:tabs>
        <w:ind w:start="0" w:end="0"/>
        <w:rPr/>
      </w:pPr>
      <w:r>
        <w:rPr/>
        <w:t>Dated:  November 23, 2001</w:t>
      </w:r>
      <w:r>
        <w:br w:type="page"/>
      </w:r>
    </w:p>
    <w:p>
      <w:pPr>
        <w:pStyle w:val="Signature"/>
        <w:widowControl w:val="false"/>
        <w:tabs>
          <w:tab w:val="left" w:pos="1440" w:leader="none"/>
          <w:tab w:val="left" w:pos="4320" w:leader="none"/>
          <w:tab w:val="left" w:pos="4680" w:leader="none"/>
          <w:tab w:val="left" w:pos="5220" w:leader="none"/>
        </w:tabs>
        <w:ind w:start="0" w:end="0"/>
        <w:rPr/>
      </w:pPr>
      <w:r>
        <w:rPr/>
      </w:r>
    </w:p>
    <w:p>
      <w:pPr>
        <w:pStyle w:val="Signature"/>
        <w:widowControl w:val="false"/>
        <w:tabs>
          <w:tab w:val="left" w:pos="1440" w:leader="none"/>
          <w:tab w:val="left" w:pos="4320" w:leader="none"/>
          <w:tab w:val="left" w:pos="4680" w:leader="none"/>
          <w:tab w:val="left" w:pos="5220" w:leader="none"/>
        </w:tabs>
        <w:spacing w:lineRule="auto" w:line="240"/>
        <w:ind w:start="0" w:end="0"/>
        <w:jc w:val="center"/>
        <w:rPr>
          <w:b/>
        </w:rPr>
      </w:pPr>
      <w:r>
        <w:rPr>
          <w:b/>
        </w:rPr>
        <w:t>CERTIFICATE OF SERVICE</w:t>
      </w:r>
    </w:p>
    <w:p>
      <w:pPr>
        <w:pStyle w:val="Normal"/>
        <w:widowControl w:val="false"/>
        <w:rPr>
          <w:rFonts w:ascii="Arial" w:hAnsi="Arial" w:cs="Arial"/>
          <w:b/>
        </w:rPr>
      </w:pPr>
      <w:r>
        <w:rPr>
          <w:rFonts w:cs="Arial" w:ascii="Arial" w:hAnsi="Arial"/>
          <w:b/>
        </w:rPr>
      </w:r>
    </w:p>
    <w:p>
      <w:pPr>
        <w:pStyle w:val="Normal"/>
        <w:widowControl w:val="false"/>
        <w:rPr>
          <w:rFonts w:ascii="Arial" w:hAnsi="Arial" w:cs="Arial"/>
        </w:rPr>
      </w:pPr>
      <w:r>
        <w:rPr>
          <w:rFonts w:cs="Arial" w:ascii="Arial" w:hAnsi="Arial"/>
        </w:rPr>
        <w:t>I hereby certify that I served a copy of the foregoing this 23rd day of November 2001 in accordance with the procedures established for this proceeding.</w:t>
      </w:r>
    </w:p>
    <w:p>
      <w:pPr>
        <w:pStyle w:val="Normal"/>
        <w:widowControl w:val="false"/>
        <w:rPr>
          <w:rFonts w:ascii="Arial" w:hAnsi="Arial" w:cs="Arial"/>
        </w:rPr>
      </w:pPr>
      <w:r>
        <w:rPr>
          <w:rFonts w:cs="Arial" w:ascii="Arial" w:hAnsi="Arial"/>
        </w:rPr>
      </w:r>
    </w:p>
    <w:p>
      <w:pPr>
        <w:pStyle w:val="Normal"/>
        <w:ind w:start="3600" w:end="0"/>
        <w:rPr>
          <w:rFonts w:ascii="Arial" w:hAnsi="Arial" w:cs="Arial"/>
        </w:rPr>
      </w:pPr>
      <w:r>
        <w:rPr>
          <w:rFonts w:cs="Arial" w:ascii="Arial" w:hAnsi="Arial"/>
        </w:rPr>
        <w:t>__________/s/_________________</w:t>
      </w:r>
    </w:p>
    <w:p>
      <w:pPr>
        <w:pStyle w:val="Normal"/>
        <w:ind w:start="3600" w:end="0"/>
        <w:rPr>
          <w:rFonts w:ascii="Arial" w:hAnsi="Arial" w:cs="Arial"/>
        </w:rPr>
      </w:pPr>
      <w:r>
        <w:rPr>
          <w:rFonts w:cs="Arial" w:ascii="Arial" w:hAnsi="Arial"/>
        </w:rPr>
        <w:t>John Longstreth</w:t>
      </w:r>
    </w:p>
    <w:sectPr>
      <w:type w:val="nextPage"/>
      <w:pgSz w:w="12240" w:h="15840"/>
      <w:pgMar w:left="1440" w:right="1440" w:gutter="0" w:header="0" w:top="1440" w:footer="0" w:bottom="144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u w:val="none"/>
      </w:rPr>
    </w:lvl>
    <w:lvl w:ilvl="1">
      <w:start w:val="1"/>
      <w:pStyle w:val="Heading2"/>
      <w:numFmt w:val="upperLetter"/>
      <w:lvlText w:val="%2."/>
      <w:lvlJc w:val="start"/>
      <w:pPr>
        <w:tabs>
          <w:tab w:val="num" w:pos="1440"/>
        </w:tabs>
        <w:ind w:start="1440" w:hanging="720"/>
      </w:pPr>
      <w:rPr>
        <w:u w:val="none"/>
      </w:rPr>
    </w:lvl>
    <w:lvl w:ilvl="2">
      <w:start w:val="1"/>
      <w:pStyle w:val="Heading3"/>
      <w:numFmt w:val="decimal"/>
      <w:lvlText w:val="%3."/>
      <w:lvlJc w:val="start"/>
      <w:pPr>
        <w:tabs>
          <w:tab w:val="num" w:pos="2160"/>
        </w:tabs>
        <w:ind w:start="2160" w:hanging="720"/>
      </w:pPr>
    </w:lvl>
    <w:lvl w:ilvl="3">
      <w:start w:val="1"/>
      <w:pStyle w:val="Heading4"/>
      <w:numFmt w:val="lowerLetter"/>
      <w:lvlText w:val="%4."/>
      <w:lvlJc w:val="start"/>
      <w:pPr>
        <w:tabs>
          <w:tab w:val="num" w:pos="2880"/>
        </w:tabs>
        <w:ind w:start="2880" w:hanging="720"/>
      </w:pPr>
    </w:lvl>
    <w:lvl w:ilvl="4">
      <w:start w:val="1"/>
      <w:pStyle w:val="Heading5"/>
      <w:numFmt w:val="lowerRoman"/>
      <w:lvlText w:val="(%5)"/>
      <w:lvlJc w:val="start"/>
      <w:pPr>
        <w:tabs>
          <w:tab w:val="num" w:pos="3600"/>
        </w:tabs>
        <w:ind w:start="3600" w:hanging="720"/>
      </w:pPr>
    </w:lvl>
    <w:lvl w:ilvl="5">
      <w:start w:val="1"/>
      <w:pStyle w:val="Heading6"/>
      <w:numFmt w:val="lowerLetter"/>
      <w:lvlText w:val="(%6)"/>
      <w:lvlJc w:val="start"/>
      <w:pPr>
        <w:tabs>
          <w:tab w:val="num" w:pos="4320"/>
        </w:tabs>
        <w:ind w:start="4320" w:hanging="720"/>
      </w:pPr>
    </w:lvl>
    <w:lvl w:ilvl="6">
      <w:start w:val="1"/>
      <w:pStyle w:val="Heading7"/>
      <w:numFmt w:val="lowerRoman"/>
      <w:lvlText w:val="%7)"/>
      <w:lvlJc w:val="start"/>
      <w:pPr>
        <w:tabs>
          <w:tab w:val="num" w:pos="5040"/>
        </w:tabs>
        <w:ind w:start="5040" w:hanging="720"/>
      </w:pPr>
    </w:lvl>
    <w:lvl w:ilvl="7">
      <w:start w:val="1"/>
      <w:pStyle w:val="Heading8"/>
      <w:numFmt w:val="lowerLetter"/>
      <w:lvlText w:val="%8)"/>
      <w:lvlJc w:val="start"/>
      <w:pPr>
        <w:tabs>
          <w:tab w:val="num" w:pos="5760"/>
        </w:tabs>
        <w:ind w:start="5760" w:hanging="720"/>
      </w:pPr>
    </w:lvl>
    <w:lvl w:ilvl="8">
      <w:start w:val="1"/>
      <w:pStyle w:val="Heading9"/>
      <w:numFmt w:val="lowerRoman"/>
      <w:lvlText w:val="%9."/>
      <w:lvlJc w:val="start"/>
      <w:pPr>
        <w:tabs>
          <w:tab w:val="num" w:pos="6480"/>
        </w:tabs>
        <w:ind w:start="6480" w:hanging="72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keepLines/>
      <w:numPr>
        <w:ilvl w:val="0"/>
        <w:numId w:val="1"/>
      </w:numPr>
      <w:spacing w:before="0" w:after="240"/>
      <w:outlineLvl w:val="0"/>
    </w:pPr>
    <w:rPr>
      <w:b/>
      <w:caps/>
      <w:kern w:val="2"/>
      <w:sz w:val="26"/>
    </w:rPr>
  </w:style>
  <w:style w:type="paragraph" w:styleId="Heading2">
    <w:name w:val="heading 2"/>
    <w:basedOn w:val="Heading1"/>
    <w:next w:val="BodyText"/>
    <w:qFormat/>
    <w:pPr>
      <w:numPr>
        <w:ilvl w:val="1"/>
        <w:numId w:val="1"/>
      </w:numPr>
      <w:tabs>
        <w:tab w:val="clear" w:pos="720"/>
        <w:tab w:val="left" w:pos="360" w:leader="none"/>
      </w:tabs>
      <w:outlineLvl w:val="1"/>
    </w:pPr>
    <w:rPr>
      <w:caps w:val="false"/>
      <w:smallCaps w:val="false"/>
    </w:rPr>
  </w:style>
  <w:style w:type="paragraph" w:styleId="Heading3">
    <w:name w:val="heading 3"/>
    <w:basedOn w:val="Heading2"/>
    <w:next w:val="BodyText"/>
    <w:qFormat/>
    <w:pPr>
      <w:keepNext w:val="false"/>
      <w:numPr>
        <w:ilvl w:val="2"/>
        <w:numId w:val="1"/>
      </w:numPr>
      <w:outlineLvl w:val="2"/>
    </w:pPr>
    <w:rPr>
      <w:b w:val="false"/>
    </w:rPr>
  </w:style>
  <w:style w:type="paragraph" w:styleId="Heading4">
    <w:name w:val="heading 4"/>
    <w:basedOn w:val="Heading3"/>
    <w:next w:val="BodyText"/>
    <w:qFormat/>
    <w:pPr>
      <w:numPr>
        <w:ilvl w:val="3"/>
        <w:numId w:val="1"/>
      </w:numPr>
      <w:outlineLvl w:val="3"/>
    </w:pPr>
    <w:rPr/>
  </w:style>
  <w:style w:type="paragraph" w:styleId="Heading5">
    <w:name w:val="heading 5"/>
    <w:basedOn w:val="Heading4"/>
    <w:next w:val="BodyText"/>
    <w:qFormat/>
    <w:pPr>
      <w:numPr>
        <w:ilvl w:val="4"/>
        <w:numId w:val="1"/>
      </w:numPr>
      <w:outlineLvl w:val="4"/>
    </w:pPr>
    <w:rPr/>
  </w:style>
  <w:style w:type="paragraph" w:styleId="Heading6">
    <w:name w:val="heading 6"/>
    <w:basedOn w:val="Heading5"/>
    <w:next w:val="BodyText"/>
    <w:qFormat/>
    <w:pPr>
      <w:numPr>
        <w:ilvl w:val="5"/>
        <w:numId w:val="1"/>
      </w:numPr>
      <w:outlineLvl w:val="5"/>
    </w:pPr>
    <w:rPr/>
  </w:style>
  <w:style w:type="paragraph" w:styleId="Heading7">
    <w:name w:val="heading 7"/>
    <w:basedOn w:val="Heading6"/>
    <w:next w:val="BodyText"/>
    <w:qFormat/>
    <w:pPr>
      <w:numPr>
        <w:ilvl w:val="6"/>
        <w:numId w:val="1"/>
      </w:numPr>
      <w:outlineLvl w:val="6"/>
    </w:pPr>
    <w:rPr/>
  </w:style>
  <w:style w:type="paragraph" w:styleId="Heading8">
    <w:name w:val="heading 8"/>
    <w:basedOn w:val="Heading7"/>
    <w:next w:val="BodyText"/>
    <w:qFormat/>
    <w:pPr>
      <w:numPr>
        <w:ilvl w:val="7"/>
        <w:numId w:val="1"/>
      </w:numPr>
      <w:outlineLvl w:val="7"/>
    </w:pPr>
    <w:rPr/>
  </w:style>
  <w:style w:type="paragraph" w:styleId="Heading9">
    <w:name w:val="heading 9"/>
    <w:basedOn w:val="Heading8"/>
    <w:next w:val="BodyText"/>
    <w:qFormat/>
    <w:pPr>
      <w:numPr>
        <w:ilvl w:val="8"/>
        <w:numId w:val="1"/>
      </w:numPr>
      <w:outlineLvl w:val="8"/>
    </w:pPr>
    <w:rPr/>
  </w:style>
  <w:style w:type="character" w:styleId="WW8Num1z0">
    <w:name w:val="WW8Num1z0"/>
    <w:qFormat/>
    <w:rPr/>
  </w:style>
  <w:style w:type="character" w:styleId="WW8Num2z0">
    <w:name w:val="WW8Num2z0"/>
    <w:qFormat/>
    <w:rPr/>
  </w:style>
  <w:style w:type="character" w:styleId="WW8Num3z0">
    <w:name w:val="WW8Num3z0"/>
    <w:qFormat/>
    <w:rPr>
      <w:u w:val="none"/>
    </w:rPr>
  </w:style>
  <w:style w:type="character" w:styleId="DefaultParagraphFont">
    <w:name w:val="Default Paragraph Font"/>
    <w:qFormat/>
    <w:rPr/>
  </w:style>
  <w:style w:type="character" w:styleId="FootnoteCharacters">
    <w:name w:val="Footnote Characters"/>
    <w:basedOn w:val="DefaultParagraphFont"/>
    <w:qFormat/>
    <w:rPr>
      <w:u w:val="single"/>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igBlock">
    <w:name w:val="SigBlock"/>
    <w:basedOn w:val="Normal"/>
    <w:next w:val="Normal"/>
    <w:qFormat/>
    <w:pPr>
      <w:keepLines/>
      <w:ind w:hanging="0" w:start="4320" w:end="0"/>
    </w:pPr>
    <w:rPr/>
  </w:style>
  <w:style w:type="paragraph" w:styleId="FootnoteText">
    <w:name w:val="footnote text"/>
    <w:basedOn w:val="Normal"/>
    <w:pPr>
      <w:spacing w:before="0" w:after="120"/>
    </w:pPr>
    <w:rPr>
      <w:rFonts w:ascii="Arial" w:hAnsi="Arial" w:cs="Arial"/>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spacing w:lineRule="auto" w:line="480"/>
      <w:ind w:firstLine="720" w:start="0" w:end="0"/>
      <w:jc w:val="both"/>
    </w:pPr>
    <w:rPr>
      <w:rFonts w:ascii="Arial" w:hAnsi="Arial" w:cs="Arial"/>
      <w:szCs w:val="24"/>
    </w:rPr>
  </w:style>
  <w:style w:type="paragraph" w:styleId="Signature">
    <w:name w:val="Signature"/>
    <w:basedOn w:val="Normal"/>
    <w:pPr>
      <w:tabs>
        <w:tab w:val="clear" w:pos="720"/>
        <w:tab w:val="left" w:pos="4680" w:leader="none"/>
      </w:tabs>
      <w:spacing w:lineRule="auto" w:line="480"/>
      <w:ind w:hanging="0" w:start="4320" w:end="0"/>
      <w:jc w:val="both"/>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2001-11-21T16:50:00Z</dcterms:created>
  <dc:creator>John Longstreth</dc:creator>
  <dc:description/>
  <dc:language>en-CA</dc:language>
  <cp:lastModifiedBy>anne t goldstein</cp:lastModifiedBy>
  <dcterms:modified xsi:type="dcterms:W3CDTF">2001-11-23T21:27:00Z</dcterms:modified>
  <cp:revision>6</cp:revision>
  <dc:subject/>
  <dc:title>Staff/PPL-1</dc:title>
</cp:coreProperties>
</file>