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40"/>
        </w:rPr>
      </w:pPr>
      <w:r>
        <w:rPr>
          <w:sz w:val="40"/>
        </w:rPr>
      </w:r>
    </w:p>
    <w:p>
      <w:pPr>
        <w:pStyle w:val="BodyText"/>
        <w:rPr>
          <w:sz w:val="40"/>
        </w:rPr>
      </w:pPr>
      <w:r>
        <w:rPr>
          <w:sz w:val="40"/>
        </w:rPr>
      </w:r>
    </w:p>
    <w:p>
      <w:pPr>
        <w:pStyle w:val="BodyText"/>
        <w:rPr>
          <w:sz w:val="40"/>
        </w:rPr>
      </w:pPr>
      <w:r>
        <w:rPr>
          <w:sz w:val="40"/>
        </w:rPr>
      </w:r>
    </w:p>
    <w:p>
      <w:pPr>
        <w:pStyle w:val="BodyText"/>
        <w:rPr>
          <w:sz w:val="40"/>
        </w:rPr>
      </w:pPr>
      <w:r>
        <w:rPr>
          <w:sz w:val="40"/>
        </w:rPr>
        <w:t>TASK STATEMENT UNDER PROVISION "H.  SPECIAL PROVISIONS" OF ALTOS TERMS AND CONDITIONS</w:t>
      </w:r>
    </w:p>
    <w:p>
      <w:pPr>
        <w:pStyle w:val="Normal"/>
        <w:jc w:val="center"/>
        <w:rPr>
          <w:b/>
          <w:color w:val="000000"/>
          <w:sz w:val="52"/>
        </w:rPr>
      </w:pPr>
      <w:r>
        <w:rPr>
          <w:b/>
          <w:color w:val="000000"/>
          <w:sz w:val="52"/>
        </w:rPr>
      </w:r>
    </w:p>
    <w:p>
      <w:pPr>
        <w:pStyle w:val="Normal"/>
        <w:jc w:val="center"/>
        <w:rPr>
          <w:b/>
          <w:color w:val="000000"/>
          <w:sz w:val="52"/>
        </w:rPr>
      </w:pPr>
      <w:r>
        <w:rPr>
          <w:b/>
          <w:color w:val="000000"/>
          <w:sz w:val="52"/>
        </w:rPr>
      </w:r>
    </w:p>
    <w:p>
      <w:pPr>
        <w:pStyle w:val="Normal"/>
        <w:jc w:val="center"/>
        <w:rPr>
          <w:b/>
          <w:color w:val="000000"/>
        </w:rPr>
      </w:pPr>
      <w:r>
        <w:rPr>
          <w:b/>
          <w:color w:val="000000"/>
        </w:rPr>
        <w:t>Submitted to</w:t>
      </w:r>
    </w:p>
    <w:p>
      <w:pPr>
        <w:pStyle w:val="Normal"/>
        <w:jc w:val="center"/>
        <w:rPr>
          <w:b/>
          <w:color w:val="000000"/>
        </w:rPr>
      </w:pPr>
      <w:r>
        <w:rPr>
          <w:b/>
          <w:color w:val="000000"/>
        </w:rPr>
        <w:t>Vincent J. Kaminski</w:t>
      </w:r>
    </w:p>
    <w:p>
      <w:pPr>
        <w:pStyle w:val="Normal"/>
        <w:jc w:val="center"/>
        <w:rPr>
          <w:b/>
          <w:color w:val="000000"/>
        </w:rPr>
      </w:pPr>
      <w:r>
        <w:rPr>
          <w:b/>
          <w:color w:val="000000"/>
        </w:rPr>
        <w:t>Enron Corporation</w:t>
      </w:r>
    </w:p>
    <w:p>
      <w:pPr>
        <w:pStyle w:val="Normal"/>
        <w:jc w:val="center"/>
        <w:rPr>
          <w:b/>
          <w:color w:val="000000"/>
        </w:rPr>
      </w:pPr>
      <w:r>
        <w:rPr>
          <w:b/>
          <w:color w:val="000000"/>
        </w:rPr>
        <w:t>1400 Smith Street</w:t>
      </w:r>
    </w:p>
    <w:p>
      <w:pPr>
        <w:pStyle w:val="Normal"/>
        <w:jc w:val="center"/>
        <w:rPr>
          <w:b/>
          <w:color w:val="000000"/>
        </w:rPr>
      </w:pPr>
      <w:r>
        <w:rPr>
          <w:b/>
          <w:color w:val="000000"/>
        </w:rPr>
        <w:t>Houston, TX  77002-7361</w:t>
      </w:r>
    </w:p>
    <w:p>
      <w:pPr>
        <w:pStyle w:val="Normal"/>
        <w:jc w:val="center"/>
        <w:rPr>
          <w:b/>
          <w:szCs w:val="17"/>
        </w:rPr>
      </w:pPr>
      <w:r>
        <w:rPr>
          <w:b/>
          <w:szCs w:val="17"/>
        </w:rPr>
        <w:t>(713) 853-3848</w:t>
      </w:r>
    </w:p>
    <w:p>
      <w:pPr>
        <w:pStyle w:val="Normal"/>
        <w:jc w:val="center"/>
        <w:rPr>
          <w:b/>
          <w:color w:val="000000"/>
        </w:rPr>
      </w:pPr>
      <w:r>
        <w:rPr>
          <w:b/>
          <w:color w:val="000000"/>
        </w:rPr>
        <w:t>Vince.J.Kaminski@enron.com</w:t>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t>Submitted by</w:t>
      </w:r>
      <w:r>
        <mc:AlternateContent>
          <mc:Choice Requires="wps">
            <w:drawing>
              <wp:anchor behindDoc="0" distT="0" distB="0" distL="114935" distR="114935" simplePos="0" locked="0" layoutInCell="0" allowOverlap="1" relativeHeight="2">
                <wp:simplePos x="0" y="0"/>
                <wp:positionH relativeFrom="column">
                  <wp:posOffset>1485900</wp:posOffset>
                </wp:positionH>
                <wp:positionV relativeFrom="paragraph">
                  <wp:posOffset>384810</wp:posOffset>
                </wp:positionV>
                <wp:extent cx="3425825" cy="1418590"/>
                <wp:effectExtent l="0" t="0" r="0" b="0"/>
                <wp:wrapTopAndBottom/>
                <wp:docPr id="1" name="Frame1"/>
                <a:graphic xmlns:a="http://schemas.openxmlformats.org/drawingml/2006/main">
                  <a:graphicData uri="http://schemas.microsoft.com/office/word/2010/wordprocessingShape">
                    <wps:wsp>
                      <wps:cNvSpPr txBox="1"/>
                      <wps:spPr>
                        <a:xfrm>
                          <a:off x="0" y="0"/>
                          <a:ext cx="3425825" cy="1418590"/>
                        </a:xfrm>
                        <a:prstGeom prst="rect"/>
                        <a:solidFill>
                          <a:srgbClr val="FFFFFF">
                            <a:alpha val="0"/>
                          </a:srgbClr>
                        </a:solidFill>
                      </wps:spPr>
                      <wps:txbx>
                        <w:txbxContent>
                          <w:p>
                            <w:pPr>
                              <w:pStyle w:val="Normal"/>
                              <w:jc w:val="center"/>
                              <w:rPr/>
                            </w:pPr>
                            <w:bookmarkStart w:id="0" w:name="_996492686"/>
                            <w:bookmarkStart w:id="1" w:name="_996492610"/>
                            <w:bookmarkEnd w:id="0"/>
                            <w:bookmarkEnd w:id="1"/>
                            <w:r>
                              <w:rPr/>
                              <w:object w:dxaOrig="5092" w:dyaOrig="207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54.6pt;height:103.75pt" filled="f" o:ole="">
                                  <v:imagedata r:id="rId3" o:title=""/>
                                </v:shape>
                                <o:OLEObject Type="Embed" ProgID="" ShapeID="ole_rId2" DrawAspect="Content" ObjectID="_69790698" r:id="rId2"/>
                              </w:object>
                            </w:r>
                          </w:p>
                        </w:txbxContent>
                      </wps:txbx>
                      <wps:bodyPr anchor="t" lIns="92075" tIns="46355" rIns="92075" bIns="46355">
                        <a:noAutofit/>
                      </wps:bodyPr>
                    </wps:wsp>
                  </a:graphicData>
                </a:graphic>
              </wp:anchor>
            </w:drawing>
          </mc:Choice>
          <mc:Fallback>
            <w:pict>
              <v:rect fillcolor="#FFFFFF" style="position:absolute;rotation:-0;width:269.75pt;height:111.7pt;mso-wrap-distance-left:9.05pt;mso-wrap-distance-right:9.05pt;mso-wrap-distance-top:0pt;mso-wrap-distance-bottom:0pt;margin-top:30.3pt;mso-position-vertical-relative:text;margin-left:117pt;mso-position-horizontal-relative:text">
                <v:fill opacity="0f"/>
                <v:textbox inset="0.100694444444444in,0.0506944444444444in,0.100694444444444in,0.0506944444444444in">
                  <w:txbxContent>
                    <w:p>
                      <w:pPr>
                        <w:pStyle w:val="Normal"/>
                        <w:jc w:val="center"/>
                        <w:rPr/>
                      </w:pPr>
                      <w:bookmarkStart w:id="2" w:name="_996492686"/>
                      <w:bookmarkStart w:id="3" w:name="_996492610"/>
                      <w:bookmarkEnd w:id="2"/>
                      <w:bookmarkEnd w:id="3"/>
                      <w:r>
                        <w:rPr/>
                        <w:object w:dxaOrig="5092" w:dyaOrig="207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54.6pt;height:103.75pt" filled="f" o:ole="">
                            <v:imagedata r:id="rId5" o:title=""/>
                          </v:shape>
                          <o:OLEObject Type="Embed" ProgID="" ShapeID="ole_rId4" DrawAspect="Content" ObjectID="_932180026" r:id="rId4"/>
                        </w:object>
                      </w:r>
                    </w:p>
                  </w:txbxContent>
                </v:textbox>
                <w10:wrap type="topAndBottom"/>
              </v:rect>
            </w:pict>
          </mc:Fallback>
        </mc:AlternateContent>
      </w:r>
    </w:p>
    <w:p>
      <w:pPr>
        <w:pStyle w:val="Normal"/>
        <w:jc w:val="center"/>
        <w:rPr>
          <w:b/>
          <w:color w:val="000000"/>
        </w:rPr>
      </w:pPr>
      <w:r>
        <w:rPr>
          <w:b/>
          <w:color w:val="000000"/>
        </w:rPr>
        <w:t>Dale M. Nesbitt</w:t>
      </w:r>
    </w:p>
    <w:p>
      <w:pPr>
        <w:pStyle w:val="Normal"/>
        <w:jc w:val="center"/>
        <w:rPr>
          <w:b/>
          <w:color w:val="000000"/>
        </w:rPr>
      </w:pPr>
      <w:r>
        <w:rPr>
          <w:b/>
          <w:color w:val="000000"/>
        </w:rPr>
        <w:t>Altos Management Partners</w:t>
      </w:r>
    </w:p>
    <w:p>
      <w:pPr>
        <w:pStyle w:val="Normal"/>
        <w:jc w:val="center"/>
        <w:rPr>
          <w:b/>
          <w:color w:val="000000"/>
        </w:rPr>
      </w:pPr>
      <w:r>
        <w:rPr>
          <w:b/>
          <w:color w:val="000000"/>
        </w:rPr>
        <w:t>27121 Adonna Ct.</w:t>
      </w:r>
    </w:p>
    <w:p>
      <w:pPr>
        <w:pStyle w:val="Normal"/>
        <w:jc w:val="center"/>
        <w:rPr>
          <w:b/>
          <w:color w:val="000000"/>
        </w:rPr>
      </w:pPr>
      <w:r>
        <w:rPr>
          <w:b/>
          <w:color w:val="000000"/>
        </w:rPr>
        <w:t>Los Altos Hills, CA  94022</w:t>
      </w:r>
    </w:p>
    <w:p>
      <w:pPr>
        <w:pStyle w:val="Normal"/>
        <w:jc w:val="center"/>
        <w:rPr>
          <w:b/>
          <w:color w:val="000000"/>
        </w:rPr>
      </w:pPr>
      <w:r>
        <w:rPr>
          <w:b/>
          <w:color w:val="000000"/>
        </w:rPr>
        <w:t>(650)949-3541 Voice</w:t>
      </w:r>
    </w:p>
    <w:p>
      <w:pPr>
        <w:pStyle w:val="Normal"/>
        <w:jc w:val="center"/>
        <w:rPr>
          <w:b/>
          <w:color w:val="000000"/>
        </w:rPr>
      </w:pPr>
      <w:r>
        <w:rPr>
          <w:b/>
          <w:color w:val="000000"/>
        </w:rPr>
        <w:t>(650)948-3396 FAX</w:t>
      </w:r>
    </w:p>
    <w:p>
      <w:pPr>
        <w:pStyle w:val="Normal"/>
        <w:jc w:val="center"/>
        <w:rPr>
          <w:b/>
          <w:color w:val="000000"/>
        </w:rPr>
      </w:pPr>
      <w:r>
        <w:rPr>
          <w:b/>
          <w:color w:val="000000"/>
        </w:rPr>
        <w:t>(650)218-3069 cellular</w:t>
      </w:r>
    </w:p>
    <w:p>
      <w:pPr>
        <w:pStyle w:val="Normal"/>
        <w:jc w:val="center"/>
        <w:rPr>
          <w:b/>
          <w:color w:val="000000"/>
        </w:rPr>
      </w:pPr>
      <w:hyperlink r:id="rId6">
        <w:r>
          <w:rPr>
            <w:rStyle w:val="Hyperlink"/>
            <w:b/>
            <w:color w:val="000000"/>
            <w:u w:val="none"/>
          </w:rPr>
          <w:t>dale.nesbitt@marketpointinc.com</w:t>
        </w:r>
      </w:hyperlink>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fldChar w:fldCharType="begin"/>
      </w:r>
      <w:r>
        <w:rPr>
          <w:b/>
          <w:color w:val="000000"/>
        </w:rPr>
        <w:instrText xml:space="preserve"> DATE \@"MMMM\ d', 'yyyy" </w:instrText>
      </w:r>
      <w:r>
        <w:rPr>
          <w:b/>
          <w:color w:val="000000"/>
        </w:rPr>
        <w:fldChar w:fldCharType="separate"/>
      </w:r>
      <w:r>
        <w:rPr>
          <w:b/>
          <w:color w:val="000000"/>
        </w:rPr>
        <w:t>September 28, 2025</w:t>
      </w:r>
      <w:r>
        <w:rPr>
          <w:b/>
          <w:color w:val="000000"/>
        </w:rPr>
        <w:fldChar w:fldCharType="end"/>
      </w:r>
    </w:p>
    <w:p>
      <w:pPr>
        <w:pStyle w:val="BodyText"/>
        <w:rPr>
          <w:b w:val="false"/>
          <w:bCs w:val="false"/>
          <w:color w:val="000000"/>
          <w:sz w:val="24"/>
        </w:rPr>
      </w:pPr>
      <w:r>
        <w:rPr>
          <w:b w:val="false"/>
          <w:bCs w:val="false"/>
          <w:color w:val="000000"/>
          <w:sz w:val="24"/>
        </w:rPr>
      </w:r>
    </w:p>
    <w:p>
      <w:pPr>
        <w:pStyle w:val="BodyText"/>
        <w:rPr>
          <w:b w:val="false"/>
          <w:bCs w:val="false"/>
          <w:sz w:val="24"/>
        </w:rPr>
      </w:pPr>
      <w:r>
        <w:rPr>
          <w:b w:val="false"/>
          <w:bCs w:val="false"/>
          <w:sz w:val="24"/>
        </w:rPr>
      </w:r>
      <w:r>
        <w:br w:type="page"/>
      </w:r>
    </w:p>
    <w:p>
      <w:pPr>
        <w:pStyle w:val="BodyText"/>
        <w:rPr>
          <w:b w:val="false"/>
          <w:bCs w:val="false"/>
          <w:sz w:val="24"/>
        </w:rPr>
      </w:pPr>
      <w:r>
        <w:rPr>
          <w:b w:val="false"/>
          <w:bCs w:val="false"/>
          <w:sz w:val="24"/>
        </w:rPr>
      </w:r>
    </w:p>
    <w:p>
      <w:pPr>
        <w:pStyle w:val="Normal"/>
        <w:jc w:val="center"/>
        <w:rPr>
          <w:rFonts w:eastAsia="MS Mincho;ＭＳ 明朝"/>
        </w:rPr>
      </w:pPr>
      <w:r>
        <w:rPr>
          <w:rFonts w:eastAsia="MS Mincho;ＭＳ 明朝"/>
        </w:rPr>
        <w:t>Contents</w:t>
      </w:r>
    </w:p>
    <w:p>
      <w:pPr>
        <w:pStyle w:val="Normal"/>
        <w:jc w:val="both"/>
        <w:rPr>
          <w:rFonts w:eastAsia="MS Mincho;ＭＳ 明朝"/>
        </w:rPr>
      </w:pPr>
      <w:r>
        <w:rPr>
          <w:rFonts w:eastAsia="MS Mincho;ＭＳ 明朝"/>
        </w:rPr>
      </w:r>
    </w:p>
    <w:sdt>
      <w:sdtPr>
        <w:docPartObj>
          <w:docPartGallery w:val="Table of Contents"/>
          <w:docPartUnique w:val="true"/>
        </w:docPartObj>
      </w:sdtPr>
      <w:sdtContent>
        <w:p>
          <w:pPr>
            <w:pStyle w:val="TOC1"/>
            <w:tabs>
              <w:tab w:val="clear" w:pos="720"/>
              <w:tab w:val="left" w:pos="480" w:leader="none"/>
              <w:tab w:val="right" w:pos="9580" w:leader="dot"/>
            </w:tabs>
            <w:rPr>
              <w:rFonts w:eastAsia="Times New Roman"/>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500065787">
            <w:r>
              <w:rPr>
                <w:rStyle w:val="IndexLink"/>
                <w:lang w:val="en-CA" w:eastAsia="en-CA"/>
              </w:rPr>
              <w:t>1</w:t>
            </w:r>
            <w:r>
              <w:rPr>
                <w:rStyle w:val="IndexLink"/>
                <w:rFonts w:eastAsia="Times New Roman"/>
                <w:lang w:val="en-CA" w:eastAsia="en-CA"/>
              </w:rPr>
              <w:tab/>
            </w:r>
            <w:r>
              <w:rPr>
                <w:rStyle w:val="IndexLink"/>
                <w:lang w:val="en-CA" w:eastAsia="en-CA"/>
              </w:rPr>
              <w:t>Objectives of the Trial Project</w:t>
              <w:tab/>
              <w:t>1</w:t>
            </w:r>
          </w:hyperlink>
        </w:p>
        <w:p>
          <w:pPr>
            <w:pStyle w:val="TOC1"/>
            <w:tabs>
              <w:tab w:val="clear" w:pos="720"/>
              <w:tab w:val="left" w:pos="480" w:leader="none"/>
              <w:tab w:val="right" w:pos="9580" w:leader="dot"/>
            </w:tabs>
            <w:rPr>
              <w:rFonts w:eastAsia="Times New Roman"/>
              <w:lang w:val="en-CA" w:eastAsia="en-CA"/>
            </w:rPr>
          </w:pPr>
          <w:hyperlink w:anchor="__RefHeading___Toc500065788">
            <w:r>
              <w:rPr>
                <w:rStyle w:val="IndexLink"/>
                <w:lang w:val="en-CA" w:eastAsia="en-CA"/>
              </w:rPr>
              <w:t>2</w:t>
            </w:r>
            <w:r>
              <w:rPr>
                <w:rStyle w:val="IndexLink"/>
                <w:rFonts w:eastAsia="Times New Roman"/>
                <w:lang w:val="en-CA" w:eastAsia="en-CA"/>
              </w:rPr>
              <w:tab/>
            </w:r>
            <w:r>
              <w:rPr>
                <w:rStyle w:val="IndexLink"/>
                <w:lang w:val="en-CA" w:eastAsia="en-CA"/>
              </w:rPr>
              <w:t>Work Statement for One Week Onsite Test Project</w:t>
              <w:tab/>
              <w:t>2</w:t>
            </w:r>
          </w:hyperlink>
        </w:p>
        <w:p>
          <w:pPr>
            <w:pStyle w:val="TOC1"/>
            <w:tabs>
              <w:tab w:val="clear" w:pos="720"/>
              <w:tab w:val="left" w:pos="480" w:leader="none"/>
              <w:tab w:val="right" w:pos="9580" w:leader="dot"/>
            </w:tabs>
            <w:rPr>
              <w:rFonts w:eastAsia="Times New Roman"/>
              <w:lang w:val="en-CA" w:eastAsia="en-CA"/>
            </w:rPr>
          </w:pPr>
          <w:hyperlink w:anchor="__RefHeading___Toc500065789">
            <w:r>
              <w:rPr>
                <w:rStyle w:val="IndexLink"/>
                <w:lang w:val="en-CA" w:eastAsia="en-CA"/>
              </w:rPr>
              <w:t>3</w:t>
            </w:r>
            <w:r>
              <w:rPr>
                <w:rStyle w:val="IndexLink"/>
                <w:rFonts w:eastAsia="Times New Roman"/>
                <w:lang w:val="en-CA" w:eastAsia="en-CA"/>
              </w:rPr>
              <w:tab/>
            </w:r>
            <w:r>
              <w:rPr>
                <w:rStyle w:val="IndexLink"/>
                <w:lang w:val="en-CA" w:eastAsia="en-CA"/>
              </w:rPr>
              <w:t>Approvals</w:t>
              <w:tab/>
              <w:t>4</w:t>
            </w:r>
          </w:hyperlink>
        </w:p>
        <w:p>
          <w:pPr>
            <w:pStyle w:val="TOC2"/>
            <w:tabs>
              <w:tab w:val="clear" w:pos="720"/>
              <w:tab w:val="left" w:pos="960" w:leader="none"/>
              <w:tab w:val="right" w:pos="9580" w:leader="dot"/>
            </w:tabs>
            <w:rPr>
              <w:lang w:val="en-CA" w:eastAsia="en-CA"/>
            </w:rPr>
          </w:pPr>
          <w:hyperlink w:anchor="__RefHeading___Toc500065790">
            <w:r>
              <w:rPr>
                <w:rStyle w:val="IndexLink"/>
                <w:szCs w:val="22"/>
                <w:lang w:val="en-CA" w:eastAsia="en-CA"/>
              </w:rPr>
              <w:t>3.1</w:t>
            </w:r>
            <w:r>
              <w:rPr>
                <w:rStyle w:val="IndexLink"/>
                <w:lang w:val="en-CA" w:eastAsia="en-CA"/>
              </w:rPr>
              <w:tab/>
            </w:r>
            <w:r>
              <w:rPr>
                <w:rStyle w:val="IndexLink"/>
                <w:szCs w:val="22"/>
                <w:lang w:val="en-CA" w:eastAsia="en-CA"/>
              </w:rPr>
              <w:t>Test Project</w:t>
            </w:r>
            <w:r>
              <w:rPr>
                <w:rStyle w:val="IndexLink"/>
                <w:lang w:val="en-CA" w:eastAsia="en-CA"/>
              </w:rPr>
              <w:tab/>
              <w:t>4</w:t>
            </w:r>
          </w:hyperlink>
        </w:p>
        <w:p>
          <w:pPr>
            <w:pStyle w:val="TOC2"/>
            <w:tabs>
              <w:tab w:val="clear" w:pos="720"/>
              <w:tab w:val="left" w:pos="960" w:leader="none"/>
              <w:tab w:val="right" w:pos="9580" w:leader="dot"/>
            </w:tabs>
            <w:rPr>
              <w:lang w:val="en-CA" w:eastAsia="en-CA"/>
            </w:rPr>
          </w:pPr>
          <w:hyperlink w:anchor="__RefHeading___Toc500065791">
            <w:r>
              <w:rPr>
                <w:rStyle w:val="IndexLink"/>
                <w:szCs w:val="22"/>
                <w:lang w:val="en-CA" w:eastAsia="en-CA"/>
              </w:rPr>
              <w:t>3.2</w:t>
            </w:r>
            <w:r>
              <w:rPr>
                <w:rStyle w:val="IndexLink"/>
                <w:lang w:val="en-CA" w:eastAsia="en-CA"/>
              </w:rPr>
              <w:tab/>
            </w:r>
            <w:r>
              <w:rPr>
                <w:rStyle w:val="IndexLink"/>
                <w:szCs w:val="22"/>
                <w:lang w:val="en-CA" w:eastAsia="en-CA"/>
              </w:rPr>
              <w:t>Full Acceptance of MarketPoint License (To Be Concluded Within Five Days of Initiation of Test Project)</w:t>
            </w:r>
            <w:r>
              <w:rPr>
                <w:rStyle w:val="IndexLink"/>
                <w:lang w:val="en-CA" w:eastAsia="en-CA"/>
              </w:rPr>
              <w:tab/>
              <w:t>4</w:t>
            </w:r>
          </w:hyperlink>
          <w:r>
            <w:rPr>
              <w:rStyle w:val="IndexLink"/>
              <w:lang w:val="en-CA" w:eastAsia="en-CA"/>
            </w:rPr>
            <w:fldChar w:fldCharType="end"/>
          </w:r>
        </w:p>
      </w:sdtContent>
    </w:sdt>
    <w:p>
      <w:pPr>
        <w:pStyle w:val="Normal"/>
        <w:jc w:val="both"/>
        <w:rPr>
          <w:rFonts w:eastAsia="MS Mincho;ＭＳ 明朝"/>
          <w:lang w:val="en-CA" w:eastAsia="en-CA"/>
        </w:rPr>
      </w:pPr>
      <w:r>
        <w:rPr>
          <w:rFonts w:eastAsia="MS Mincho;ＭＳ 明朝"/>
          <w:lang w:val="en-CA" w:eastAsia="en-CA"/>
        </w:rPr>
      </w:r>
    </w:p>
    <w:p>
      <w:pPr>
        <w:pStyle w:val="BodyTextIndent"/>
        <w:rPr/>
      </w:pPr>
      <w:r>
        <w:rPr/>
        <w:t>This document is an addendum under Section H of the Altos Terms and Conditions in force between Client and Altos.  It is intended as a fixed price, fixed deliverable addendum thereto, and it is termed a “Trial Project” throughout this document.</w:t>
      </w:r>
    </w:p>
    <w:p>
      <w:pPr>
        <w:pStyle w:val="Heading1"/>
        <w:ind w:hanging="0" w:start="0"/>
        <w:jc w:val="both"/>
        <w:rPr/>
      </w:pPr>
      <w:bookmarkStart w:id="4" w:name="__RefHeading___Toc500065787"/>
      <w:bookmarkEnd w:id="4"/>
      <w:r>
        <w:rPr/>
        <w:t>OBJECTIVES OF THE TRIAL PROJECT</w:t>
      </w:r>
    </w:p>
    <w:p>
      <w:pPr>
        <w:pStyle w:val="Normal"/>
        <w:jc w:val="both"/>
        <w:rPr>
          <w:rFonts w:eastAsia="MS Mincho;ＭＳ 明朝"/>
        </w:rPr>
      </w:pPr>
      <w:r>
        <w:rPr>
          <w:rFonts w:eastAsia="MS Mincho;ＭＳ 明朝"/>
        </w:rPr>
      </w:r>
    </w:p>
    <w:p>
      <w:pPr>
        <w:pStyle w:val="Normal"/>
        <w:ind w:firstLine="432" w:end="0"/>
        <w:jc w:val="both"/>
        <w:rPr>
          <w:rFonts w:eastAsia="MS Mincho;ＭＳ 明朝"/>
        </w:rPr>
      </w:pPr>
      <w:r>
        <w:rPr>
          <w:rFonts w:eastAsia="MS Mincho;ＭＳ 明朝"/>
        </w:rPr>
        <w:t>Altos herewith offers a trial project involving our MarketPoint modeling system, a selected, preexisting MarketPoint model, and a Client-selected application that can reasonably be accomplished within the one week time frame of the trial project.  The objectives of the trial project are for the Client to:</w:t>
      </w:r>
    </w:p>
    <w:p>
      <w:pPr>
        <w:pStyle w:val="Normal"/>
        <w:jc w:val="both"/>
        <w:rPr>
          <w:rFonts w:eastAsia="MS Mincho;ＭＳ 明朝"/>
        </w:rPr>
      </w:pPr>
      <w:r>
        <w:rPr>
          <w:rFonts w:eastAsia="MS Mincho;ＭＳ 明朝"/>
        </w:rPr>
      </w:r>
    </w:p>
    <w:p>
      <w:pPr>
        <w:pStyle w:val="Normal"/>
        <w:numPr>
          <w:ilvl w:val="0"/>
          <w:numId w:val="2"/>
        </w:numPr>
        <w:tabs>
          <w:tab w:val="clear" w:pos="720"/>
          <w:tab w:val="left" w:pos="360" w:leader="none"/>
        </w:tabs>
        <w:ind w:hanging="360" w:start="360" w:end="0"/>
        <w:jc w:val="both"/>
        <w:rPr>
          <w:rFonts w:eastAsia="MS Mincho;ＭＳ 明朝"/>
        </w:rPr>
      </w:pPr>
      <w:r>
        <w:rPr>
          <w:rFonts w:eastAsia="MS Mincho;ＭＳ 明朝"/>
        </w:rPr>
        <w:t>Gain comprehensive understanding of the theory and application of MarketPoint.  MarketPoint embeds several guiding principles.  (1.)  There is truly only one right way to build a deterministic forward economic model, and that is the Walras-Arrow-Debreu-rational expectations competitive equilibrium approach and its direct derivatives.  (2.)  Market model solutions must be capable of calculating a "zero arbitrage" solution--no arbitrage possibility over time or over space must be achievable by and embedded within the solution.  (3.)  Market models that do not admit of capacity entry, operation, and retirement can never be reliable or credible predictors of forward prices.  The trial project communicates these essential ingredients of our approach and how and why MarketPoint embeds them.</w:t>
      </w:r>
    </w:p>
    <w:p>
      <w:pPr>
        <w:pStyle w:val="Normal"/>
        <w:jc w:val="both"/>
        <w:rPr>
          <w:rFonts w:eastAsia="MS Mincho;ＭＳ 明朝"/>
        </w:rPr>
      </w:pPr>
      <w:r>
        <w:rPr>
          <w:rFonts w:eastAsia="MS Mincho;ＭＳ 明朝"/>
        </w:rPr>
      </w:r>
    </w:p>
    <w:p>
      <w:pPr>
        <w:pStyle w:val="Normal"/>
        <w:numPr>
          <w:ilvl w:val="0"/>
          <w:numId w:val="2"/>
        </w:numPr>
        <w:tabs>
          <w:tab w:val="clear" w:pos="720"/>
          <w:tab w:val="left" w:pos="360" w:leader="none"/>
        </w:tabs>
        <w:ind w:hanging="360" w:start="360" w:end="0"/>
        <w:jc w:val="both"/>
        <w:rPr>
          <w:rFonts w:eastAsia="MS Mincho;ＭＳ 明朝"/>
        </w:rPr>
      </w:pPr>
      <w:r>
        <w:rPr>
          <w:rFonts w:eastAsia="MS Mincho;ＭＳ 明朝"/>
        </w:rPr>
        <w:t>Gain insight into an important business problem or informational area of current concern to the Client and thereby create intrinsic value from the project in its own right.  The trial project is not conceived as an "experiment" or a "toy problem" but rather as a rapid but compact application of MarketPoint technology and MarketPoint people that has intrinsic value in its own right.</w:t>
      </w:r>
    </w:p>
    <w:p>
      <w:pPr>
        <w:pStyle w:val="Normal"/>
        <w:jc w:val="both"/>
        <w:rPr>
          <w:rFonts w:eastAsia="MS Mincho;ＭＳ 明朝"/>
        </w:rPr>
      </w:pPr>
      <w:r>
        <w:rPr>
          <w:rFonts w:eastAsia="MS Mincho;ＭＳ 明朝"/>
        </w:rPr>
      </w:r>
    </w:p>
    <w:p>
      <w:pPr>
        <w:pStyle w:val="Normal"/>
        <w:numPr>
          <w:ilvl w:val="0"/>
          <w:numId w:val="2"/>
        </w:numPr>
        <w:tabs>
          <w:tab w:val="clear" w:pos="720"/>
          <w:tab w:val="left" w:pos="360" w:leader="none"/>
        </w:tabs>
        <w:ind w:hanging="360" w:start="360" w:end="0"/>
        <w:jc w:val="both"/>
        <w:rPr>
          <w:rFonts w:eastAsia="MS Mincho;ＭＳ 明朝"/>
        </w:rPr>
      </w:pPr>
      <w:r>
        <w:rPr>
          <w:rFonts w:eastAsia="MS Mincho;ＭＳ 明朝"/>
        </w:rPr>
        <w:t>Gain working experience on the MarketPoint software mounted on Client computers under the close and continuous tutelage of Altos and MarketPoint professionals.  The MarketPoint software allows easy access to the sophisticated tools and concepts of the Walras-Arrow-Debreu-rational expectations general equilibrium approach yet at the same time is sufficiently sophisticated that Clients can actually operate it continuously using only a modest magnitude of internal resources.  We also endeavor to help you understand that MarketPoint is not a "model" but in fact a software system for building your own private, proprietary, confidential, inhouse models that embed your own private, proprietary, confidential models of the industry.  Just as everyone uses Excel to build proprietary inhouse models without any concern of breaching property rights or competitive advantage, so can everyone use MarketPoint to build proprietary inhouse models without any concerns of breaching property rights or competitive advantage.</w:t>
      </w:r>
    </w:p>
    <w:p>
      <w:pPr>
        <w:pStyle w:val="Normal"/>
        <w:jc w:val="both"/>
        <w:rPr>
          <w:rFonts w:eastAsia="MS Mincho;ＭＳ 明朝"/>
        </w:rPr>
      </w:pPr>
      <w:r>
        <w:rPr>
          <w:rFonts w:eastAsia="MS Mincho;ＭＳ 明朝"/>
        </w:rPr>
      </w:r>
    </w:p>
    <w:p>
      <w:pPr>
        <w:pStyle w:val="Normal"/>
        <w:numPr>
          <w:ilvl w:val="0"/>
          <w:numId w:val="2"/>
        </w:numPr>
        <w:tabs>
          <w:tab w:val="clear" w:pos="720"/>
          <w:tab w:val="left" w:pos="0" w:leader="none"/>
        </w:tabs>
        <w:ind w:hanging="360" w:start="360" w:end="0"/>
        <w:jc w:val="both"/>
        <w:rPr>
          <w:rFonts w:eastAsia="MS Mincho;ＭＳ 明朝"/>
        </w:rPr>
      </w:pPr>
      <w:r>
        <w:rPr>
          <w:rFonts w:eastAsia="MS Mincho;ＭＳ 明朝"/>
        </w:rPr>
        <w:t>Help you understand for yourself whether you might want to license the MarketPoint software for ongoing inhouse use.  The trial project is designed to give the Client first hand knowledge of what the true ramifications of acquiring MarketPoint for ongoing, inhouse, independent use might be.</w:t>
      </w:r>
    </w:p>
    <w:p>
      <w:pPr>
        <w:pStyle w:val="Normal"/>
        <w:jc w:val="both"/>
        <w:rPr>
          <w:rFonts w:eastAsia="MS Mincho;ＭＳ 明朝"/>
        </w:rPr>
      </w:pPr>
      <w:r>
        <w:rPr>
          <w:rFonts w:eastAsia="MS Mincho;ＭＳ 明朝"/>
        </w:rPr>
      </w:r>
    </w:p>
    <w:p>
      <w:pPr>
        <w:pStyle w:val="Normal"/>
        <w:numPr>
          <w:ilvl w:val="0"/>
          <w:numId w:val="2"/>
        </w:numPr>
        <w:tabs>
          <w:tab w:val="clear" w:pos="720"/>
          <w:tab w:val="left" w:pos="0" w:leader="none"/>
        </w:tabs>
        <w:ind w:hanging="360" w:start="360" w:end="0"/>
        <w:jc w:val="both"/>
        <w:rPr>
          <w:rFonts w:eastAsia="MS Mincho;ＭＳ 明朝"/>
        </w:rPr>
      </w:pPr>
      <w:r>
        <w:rPr>
          <w:rFonts w:eastAsia="MS Mincho;ＭＳ 明朝"/>
        </w:rPr>
        <w:t>Give you an opportunity to “kick the tires” on Altos and MarketPoint professionals to assess our knowledge and professionalism.</w:t>
      </w:r>
    </w:p>
    <w:p>
      <w:pPr>
        <w:pStyle w:val="Normal"/>
        <w:jc w:val="both"/>
        <w:rPr>
          <w:rFonts w:eastAsia="MS Mincho;ＭＳ 明朝"/>
        </w:rPr>
      </w:pPr>
      <w:r>
        <w:rPr>
          <w:rFonts w:eastAsia="MS Mincho;ＭＳ 明朝"/>
        </w:rPr>
      </w:r>
    </w:p>
    <w:p>
      <w:pPr>
        <w:pStyle w:val="Heading1"/>
        <w:ind w:hanging="0" w:start="0"/>
        <w:jc w:val="both"/>
        <w:rPr/>
      </w:pPr>
      <w:bookmarkStart w:id="5" w:name="__RefHeading___Toc500065788"/>
      <w:bookmarkEnd w:id="5"/>
      <w:r>
        <w:rPr/>
        <w:t>WORK STATEMENT FOR ONE WEEK ONSITE TEST PROJECT</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ab/>
        <w:t>This section articulates the work statement and deliverables for the proposed one week onsite test project.</w:t>
      </w:r>
    </w:p>
    <w:p>
      <w:pPr>
        <w:pStyle w:val="Normal"/>
        <w:jc w:val="both"/>
        <w:rPr>
          <w:rFonts w:eastAsia="MS Mincho;ＭＳ 明朝"/>
        </w:rPr>
      </w:pPr>
      <w:r>
        <w:rPr>
          <w:rFonts w:eastAsia="MS Mincho;ＭＳ 明朝"/>
        </w:rPr>
      </w:r>
    </w:p>
    <w:p>
      <w:pPr>
        <w:pStyle w:val="Normal"/>
        <w:numPr>
          <w:ilvl w:val="0"/>
          <w:numId w:val="3"/>
        </w:numPr>
        <w:jc w:val="both"/>
        <w:rPr>
          <w:rFonts w:eastAsia="MS Mincho;ＭＳ 明朝"/>
        </w:rPr>
      </w:pPr>
      <w:r>
        <w:rPr>
          <w:rFonts w:eastAsia="MS Mincho;ＭＳ 明朝"/>
          <w:b/>
          <w:bCs/>
          <w:u w:val="single"/>
        </w:rPr>
        <w:t>Execute MarketPoint License Agreement.</w:t>
      </w:r>
      <w:r>
        <w:rPr>
          <w:rFonts w:eastAsia="MS Mincho;ＭＳ 明朝"/>
        </w:rPr>
        <w:t xml:space="preserve">  Client must execute the standard MarketPoint software license agreement prior to initiation of the project.  Payment and license fee provisions therein are superseded by this agreement, but all other terms of that agreement shall bind both parties thereto.  The nonrefundable fee shall be regarded by both parties as payment for the rights to use MarketPoint during this trial project.</w:t>
      </w:r>
    </w:p>
    <w:p>
      <w:pPr>
        <w:pStyle w:val="Normal"/>
        <w:jc w:val="both"/>
        <w:rPr>
          <w:rFonts w:eastAsia="MS Mincho;ＭＳ 明朝"/>
        </w:rPr>
      </w:pPr>
      <w:r>
        <w:rPr>
          <w:rFonts w:eastAsia="MS Mincho;ＭＳ 明朝"/>
        </w:rPr>
      </w:r>
    </w:p>
    <w:p>
      <w:pPr>
        <w:pStyle w:val="Normal"/>
        <w:numPr>
          <w:ilvl w:val="0"/>
          <w:numId w:val="3"/>
        </w:numPr>
        <w:jc w:val="both"/>
        <w:rPr>
          <w:rFonts w:eastAsia="MS Mincho;ＭＳ 明朝"/>
        </w:rPr>
      </w:pPr>
      <w:r>
        <w:rPr>
          <w:rFonts w:eastAsia="MS Mincho;ＭＳ 明朝"/>
          <w:b/>
          <w:bCs/>
          <w:u w:val="single"/>
        </w:rPr>
        <w:t>Prepay a Nonrefundable Fee of $12,500 plus Travel and Expenses.</w:t>
      </w:r>
      <w:r>
        <w:rPr>
          <w:rFonts w:eastAsia="MS Mincho;ＭＳ 明朝"/>
        </w:rPr>
        <w:t xml:space="preserve">  The Client commits to paying a nonrefundable fee of $12,500 for professional services for the one week onsite test project and in addition pay travel and expenses for two Altos people for all or part of that week.  If the Client elects at the conclusion of the week to continue the license, that $12,500 is fully applicable to the first year license fee, and the first year license fee due is net of that amount.  </w:t>
      </w:r>
    </w:p>
    <w:p>
      <w:pPr>
        <w:pStyle w:val="Normal"/>
        <w:jc w:val="both"/>
        <w:rPr>
          <w:rFonts w:eastAsia="MS Mincho;ＭＳ 明朝"/>
        </w:rPr>
      </w:pPr>
      <w:r>
        <w:rPr>
          <w:rFonts w:eastAsia="MS Mincho;ＭＳ 明朝"/>
        </w:rPr>
      </w:r>
    </w:p>
    <w:p>
      <w:pPr>
        <w:pStyle w:val="Normal"/>
        <w:numPr>
          <w:ilvl w:val="0"/>
          <w:numId w:val="3"/>
        </w:numPr>
        <w:jc w:val="both"/>
        <w:rPr>
          <w:rFonts w:eastAsia="MS Mincho;ＭＳ 明朝"/>
        </w:rPr>
      </w:pPr>
      <w:r>
        <w:rPr>
          <w:rFonts w:eastAsia="MS Mincho;ＭＳ 明朝"/>
          <w:b/>
          <w:bCs/>
          <w:u w:val="single"/>
        </w:rPr>
        <w:t>Submit a Prioritized Portfolio of Three Prospective Decisions for Analysis During this Project.</w:t>
      </w:r>
      <w:r>
        <w:rPr>
          <w:rFonts w:eastAsia="MS Mincho;ＭＳ 明朝"/>
        </w:rPr>
        <w:t xml:space="preserve">  One week before the initiation of the test project, the Client will send to Altos a prioritized list of three prospective decisions or areas upon which you would like this project to focus.  This will allow Altos to initiate necessary homework and to determine which if any of the proposed projects might be infeasible given the short time constraints of the project.  Altos will communicate to Client in advance of the meeting its reading on each of the prospective projects and its recommendations.  As an aid to helping the Client formulate which problem it might want to address, it is important to enumerate the particular models that Altos has up and running</w:t>
      </w:r>
    </w:p>
    <w:p>
      <w:pPr>
        <w:pStyle w:val="Normal"/>
        <w:jc w:val="both"/>
        <w:rPr>
          <w:rFonts w:eastAsia="MS Mincho;ＭＳ 明朝"/>
        </w:rPr>
      </w:pPr>
      <w:r>
        <w:rPr>
          <w:rFonts w:eastAsia="MS Mincho;ＭＳ 明朝"/>
        </w:rPr>
      </w:r>
    </w:p>
    <w:p>
      <w:pPr>
        <w:pStyle w:val="Normal"/>
        <w:numPr>
          <w:ilvl w:val="2"/>
          <w:numId w:val="3"/>
        </w:numPr>
        <w:jc w:val="both"/>
        <w:rPr>
          <w:rFonts w:eastAsia="MS Mincho;ＭＳ 明朝"/>
        </w:rPr>
      </w:pPr>
      <w:r>
        <w:rPr>
          <w:rFonts w:eastAsia="MS Mincho;ＭＳ 明朝"/>
        </w:rPr>
        <w:t>Natural Gas</w:t>
      </w:r>
    </w:p>
    <w:p>
      <w:pPr>
        <w:pStyle w:val="Normal"/>
        <w:ind w:start="360" w:end="0"/>
        <w:jc w:val="both"/>
        <w:rPr>
          <w:rFonts w:eastAsia="MS Mincho;ＭＳ 明朝"/>
        </w:rPr>
      </w:pPr>
      <w:r>
        <w:rPr>
          <w:rFonts w:eastAsia="MS Mincho;ＭＳ 明朝"/>
        </w:rPr>
      </w:r>
    </w:p>
    <w:p>
      <w:pPr>
        <w:pStyle w:val="Normal"/>
        <w:numPr>
          <w:ilvl w:val="3"/>
          <w:numId w:val="3"/>
        </w:numPr>
        <w:jc w:val="both"/>
        <w:rPr>
          <w:rFonts w:eastAsia="MS Mincho;ＭＳ 明朝"/>
        </w:rPr>
      </w:pPr>
      <w:r>
        <w:rPr>
          <w:rFonts w:eastAsia="MS Mincho;ＭＳ 明朝"/>
        </w:rPr>
        <w:t>Short term NARG (monthly forwards with storage dispatch)</w:t>
      </w:r>
    </w:p>
    <w:p>
      <w:pPr>
        <w:pStyle w:val="Normal"/>
        <w:numPr>
          <w:ilvl w:val="3"/>
          <w:numId w:val="3"/>
        </w:numPr>
        <w:jc w:val="both"/>
        <w:rPr>
          <w:rFonts w:eastAsia="MS Mincho;ＭＳ 明朝"/>
        </w:rPr>
      </w:pPr>
      <w:r>
        <w:rPr>
          <w:rFonts w:eastAsia="MS Mincho;ＭＳ 明朝"/>
        </w:rPr>
        <w:t>Long term NARG (multiannual forwards with capacity additions)</w:t>
      </w:r>
    </w:p>
    <w:p>
      <w:pPr>
        <w:pStyle w:val="Normal"/>
        <w:jc w:val="both"/>
        <w:rPr>
          <w:rFonts w:eastAsia="MS Mincho;ＭＳ 明朝"/>
        </w:rPr>
      </w:pPr>
      <w:r>
        <w:rPr>
          <w:rFonts w:eastAsia="MS Mincho;ＭＳ 明朝"/>
        </w:rPr>
      </w:r>
    </w:p>
    <w:p>
      <w:pPr>
        <w:pStyle w:val="Normal"/>
        <w:numPr>
          <w:ilvl w:val="2"/>
          <w:numId w:val="3"/>
        </w:numPr>
        <w:jc w:val="both"/>
        <w:rPr>
          <w:rFonts w:eastAsia="MS Mincho;ＭＳ 明朝"/>
        </w:rPr>
      </w:pPr>
      <w:r>
        <w:rPr>
          <w:rFonts w:eastAsia="MS Mincho;ＭＳ 明朝"/>
        </w:rPr>
        <w:t>Electricity</w:t>
      </w:r>
    </w:p>
    <w:p>
      <w:pPr>
        <w:pStyle w:val="Normal"/>
        <w:jc w:val="both"/>
        <w:rPr>
          <w:rFonts w:eastAsia="MS Mincho;ＭＳ 明朝"/>
        </w:rPr>
      </w:pPr>
      <w:r>
        <w:rPr>
          <w:rFonts w:eastAsia="MS Mincho;ＭＳ 明朝"/>
        </w:rPr>
      </w:r>
    </w:p>
    <w:p>
      <w:pPr>
        <w:pStyle w:val="Normal"/>
        <w:numPr>
          <w:ilvl w:val="3"/>
          <w:numId w:val="3"/>
        </w:numPr>
        <w:jc w:val="both"/>
        <w:rPr>
          <w:rFonts w:eastAsia="MS Mincho;ＭＳ 明朝"/>
        </w:rPr>
      </w:pPr>
      <w:r>
        <w:rPr>
          <w:rFonts w:eastAsia="MS Mincho;ＭＳ 明朝"/>
        </w:rPr>
        <w:t>Short term North American electric (monthly forwards)</w:t>
      </w:r>
    </w:p>
    <w:p>
      <w:pPr>
        <w:pStyle w:val="Normal"/>
        <w:numPr>
          <w:ilvl w:val="3"/>
          <w:numId w:val="3"/>
        </w:numPr>
        <w:jc w:val="both"/>
        <w:rPr>
          <w:rFonts w:eastAsia="MS Mincho;ＭＳ 明朝"/>
        </w:rPr>
      </w:pPr>
      <w:r>
        <w:rPr>
          <w:rFonts w:eastAsia="MS Mincho;ＭＳ 明朝"/>
        </w:rPr>
        <w:t>Long term North American electric (multiannual forwards)</w:t>
      </w:r>
    </w:p>
    <w:p>
      <w:pPr>
        <w:pStyle w:val="Normal"/>
        <w:jc w:val="both"/>
        <w:rPr>
          <w:rFonts w:eastAsia="MS Mincho;ＭＳ 明朝"/>
        </w:rPr>
      </w:pPr>
      <w:r>
        <w:rPr>
          <w:rFonts w:eastAsia="MS Mincho;ＭＳ 明朝"/>
        </w:rPr>
      </w:r>
    </w:p>
    <w:p>
      <w:pPr>
        <w:pStyle w:val="Normal"/>
        <w:numPr>
          <w:ilvl w:val="2"/>
          <w:numId w:val="3"/>
        </w:numPr>
        <w:jc w:val="both"/>
        <w:rPr>
          <w:rFonts w:eastAsia="MS Mincho;ＭＳ 明朝"/>
        </w:rPr>
      </w:pPr>
      <w:r>
        <w:rPr>
          <w:rFonts w:eastAsia="MS Mincho;ＭＳ 明朝"/>
        </w:rPr>
        <w:t>Western European Natural Gas</w:t>
      </w:r>
    </w:p>
    <w:p>
      <w:pPr>
        <w:pStyle w:val="Normal"/>
        <w:ind w:start="360" w:end="0"/>
        <w:jc w:val="both"/>
        <w:rPr>
          <w:rFonts w:eastAsia="MS Mincho;ＭＳ 明朝"/>
        </w:rPr>
      </w:pPr>
      <w:r>
        <w:rPr>
          <w:rFonts w:eastAsia="MS Mincho;ＭＳ 明朝"/>
        </w:rPr>
      </w:r>
    </w:p>
    <w:p>
      <w:pPr>
        <w:pStyle w:val="Normal"/>
        <w:numPr>
          <w:ilvl w:val="2"/>
          <w:numId w:val="3"/>
        </w:numPr>
        <w:jc w:val="both"/>
        <w:rPr>
          <w:rFonts w:eastAsia="MS Mincho;ＭＳ 明朝"/>
        </w:rPr>
      </w:pPr>
      <w:r>
        <w:rPr>
          <w:rFonts w:eastAsia="MS Mincho;ＭＳ 明朝"/>
        </w:rPr>
        <w:t>World Oil</w:t>
      </w:r>
    </w:p>
    <w:p>
      <w:pPr>
        <w:pStyle w:val="Normal"/>
        <w:jc w:val="both"/>
        <w:rPr>
          <w:rFonts w:eastAsia="MS Mincho;ＭＳ 明朝"/>
        </w:rPr>
      </w:pPr>
      <w:r>
        <w:rPr>
          <w:rFonts w:eastAsia="MS Mincho;ＭＳ 明朝"/>
        </w:rPr>
      </w:r>
    </w:p>
    <w:p>
      <w:pPr>
        <w:pStyle w:val="BodyTextIndent2"/>
        <w:rPr/>
      </w:pPr>
      <w:r>
        <w:rPr/>
        <w:t>The latter two models are being readied for final operation right now and will not be available for a test project until the first quarter of 2001.</w:t>
      </w:r>
    </w:p>
    <w:p>
      <w:pPr>
        <w:pStyle w:val="Normal"/>
        <w:jc w:val="both"/>
        <w:rPr>
          <w:rFonts w:eastAsia="MS Mincho;ＭＳ 明朝"/>
        </w:rPr>
      </w:pPr>
      <w:r>
        <w:rPr>
          <w:rFonts w:eastAsia="MS Mincho;ＭＳ 明朝"/>
        </w:rPr>
      </w:r>
    </w:p>
    <w:p>
      <w:pPr>
        <w:pStyle w:val="Normal"/>
        <w:numPr>
          <w:ilvl w:val="0"/>
          <w:numId w:val="3"/>
        </w:numPr>
        <w:jc w:val="both"/>
        <w:rPr>
          <w:rFonts w:eastAsia="MS Mincho;ＭＳ 明朝"/>
        </w:rPr>
      </w:pPr>
      <w:r>
        <w:rPr>
          <w:rFonts w:eastAsia="MS Mincho;ＭＳ 明朝"/>
          <w:b/>
          <w:bCs/>
          <w:u w:val="single"/>
        </w:rPr>
        <w:t>Mount MarketPoint on Client Computer Equipment (Monday Morning).</w:t>
      </w:r>
      <w:r>
        <w:rPr>
          <w:rFonts w:eastAsia="MS Mincho;ＭＳ 明朝"/>
        </w:rPr>
        <w:t xml:space="preserve">  We mount the model on two computers in the Client’s facility.  In planning for those computers, we need computers with a CD ROM drive that run with Windows 2000, NT, 98, or ME with processor speed of at least 750 MHz and at least 256K of RAM.</w:t>
      </w:r>
    </w:p>
    <w:p>
      <w:pPr>
        <w:pStyle w:val="Normal"/>
        <w:jc w:val="both"/>
        <w:rPr>
          <w:rFonts w:eastAsia="MS Mincho;ＭＳ 明朝"/>
        </w:rPr>
      </w:pPr>
      <w:r>
        <w:rPr>
          <w:rFonts w:eastAsia="MS Mincho;ＭＳ 明朝"/>
        </w:rPr>
      </w:r>
    </w:p>
    <w:p>
      <w:pPr>
        <w:pStyle w:val="Normal"/>
        <w:numPr>
          <w:ilvl w:val="0"/>
          <w:numId w:val="3"/>
        </w:numPr>
        <w:jc w:val="both"/>
        <w:rPr>
          <w:rFonts w:eastAsia="MS Mincho;ＭＳ 明朝"/>
        </w:rPr>
      </w:pPr>
      <w:r>
        <w:rPr>
          <w:rFonts w:eastAsia="MS Mincho;ＭＳ 明朝"/>
          <w:b/>
          <w:bCs/>
          <w:u w:val="single"/>
        </w:rPr>
        <w:t>Conduct Standard MarketPoint Training Program.</w:t>
      </w:r>
      <w:r>
        <w:rPr>
          <w:rFonts w:eastAsia="MS Mincho;ＭＳ 明朝"/>
        </w:rPr>
        <w:t xml:space="preserve">  We deliver the standard MarketPoint training program Monday afternoon through close of business Tuesday.  Agenda will be provided upon acceptance of this proposal.  We require an LCD projector and a classroom setting with the Client computers upon which MarketPoint has been mounted be present at the training session.  We will provide MarketPoint user manuals for the duration of the test project and will leave them with the Client thereafter if the client elects to continue the MarketPoint annual license at or before the conclusion of the project.</w:t>
      </w:r>
    </w:p>
    <w:p>
      <w:pPr>
        <w:pStyle w:val="Normal"/>
        <w:jc w:val="both"/>
        <w:rPr>
          <w:rFonts w:eastAsia="MS Mincho;ＭＳ 明朝"/>
        </w:rPr>
      </w:pPr>
      <w:r>
        <w:rPr>
          <w:rFonts w:eastAsia="MS Mincho;ＭＳ 明朝"/>
        </w:rPr>
      </w:r>
    </w:p>
    <w:p>
      <w:pPr>
        <w:pStyle w:val="Normal"/>
        <w:numPr>
          <w:ilvl w:val="0"/>
          <w:numId w:val="3"/>
        </w:numPr>
        <w:jc w:val="both"/>
        <w:rPr>
          <w:rFonts w:eastAsia="MS Mincho;ＭＳ 明朝"/>
        </w:rPr>
      </w:pPr>
      <w:r>
        <w:rPr>
          <w:rFonts w:eastAsia="MS Mincho;ＭＳ 明朝"/>
          <w:b/>
          <w:bCs/>
          <w:u w:val="single"/>
        </w:rPr>
        <w:t>Client Specified Application Problem by Close of Business Tuesday.</w:t>
      </w:r>
      <w:r>
        <w:rPr>
          <w:rFonts w:eastAsia="MS Mincho;ＭＳ 明朝"/>
        </w:rPr>
        <w:t xml:space="preserve">  Client will specify the specific application and the specific desired deliverables by close of business Tuesday.  MarketPoint will agree or disagree with such specification, but the only valid reason for disagreement will be inability to gather extensive data or design and implement extensive new model structure with 2 1/2 days.  MarketPoint itself should not be the constraining component; rather, the constraining component will be sheer magnitude of typing or data gathering or market structure surveying.  Client recognizes that certain prospective applications will simply be beyond the scope and time constraints of this week long test project.</w:t>
      </w:r>
    </w:p>
    <w:p>
      <w:pPr>
        <w:pStyle w:val="Normal"/>
        <w:jc w:val="both"/>
        <w:rPr>
          <w:rFonts w:eastAsia="MS Mincho;ＭＳ 明朝"/>
        </w:rPr>
      </w:pPr>
      <w:r>
        <w:rPr>
          <w:rFonts w:eastAsia="MS Mincho;ＭＳ 明朝"/>
        </w:rPr>
      </w:r>
    </w:p>
    <w:p>
      <w:pPr>
        <w:pStyle w:val="Normal"/>
        <w:numPr>
          <w:ilvl w:val="0"/>
          <w:numId w:val="3"/>
        </w:numPr>
        <w:jc w:val="both"/>
        <w:rPr>
          <w:rFonts w:eastAsia="MS Mincho;ＭＳ 明朝"/>
        </w:rPr>
      </w:pPr>
      <w:r>
        <w:rPr>
          <w:rFonts w:eastAsia="MS Mincho;ＭＳ 明朝"/>
          <w:b/>
          <w:bCs/>
          <w:u w:val="single"/>
        </w:rPr>
        <w:t>Execution of Specified Application.</w:t>
      </w:r>
      <w:r>
        <w:rPr>
          <w:rFonts w:eastAsia="MS Mincho;ＭＳ 明朝"/>
        </w:rPr>
        <w:t xml:space="preserve">  We execute the specified application between Wednesday morning and lunch Friday.  In effect, we work with Client people dawn to dusk for 2 1/2 days to formulate the problem within MarketPoint and ensure that Client people have plenty of support to work with us to solve the problem.  Successful completion of the project requires continuous and full time participation by at least two key designated members of the Client staff.</w:t>
      </w:r>
    </w:p>
    <w:p>
      <w:pPr>
        <w:pStyle w:val="Normal"/>
        <w:jc w:val="both"/>
        <w:rPr>
          <w:rFonts w:eastAsia="MS Mincho;ＭＳ 明朝"/>
        </w:rPr>
      </w:pPr>
      <w:r>
        <w:rPr>
          <w:rFonts w:eastAsia="MS Mincho;ＭＳ 明朝"/>
        </w:rPr>
      </w:r>
    </w:p>
    <w:p>
      <w:pPr>
        <w:pStyle w:val="Normal"/>
        <w:numPr>
          <w:ilvl w:val="0"/>
          <w:numId w:val="3"/>
        </w:numPr>
        <w:jc w:val="both"/>
        <w:rPr>
          <w:rFonts w:eastAsia="MS Mincho;ＭＳ 明朝"/>
        </w:rPr>
      </w:pPr>
      <w:r>
        <w:rPr>
          <w:rFonts w:eastAsia="MS Mincho;ＭＳ 明朝"/>
          <w:b/>
          <w:bCs/>
          <w:u w:val="single"/>
        </w:rPr>
        <w:t>Final Briefing.</w:t>
      </w:r>
      <w:r>
        <w:rPr>
          <w:rFonts w:eastAsia="MS Mincho;ＭＳ 明朝"/>
        </w:rPr>
        <w:t xml:space="preserve">  The final briefing on the test problem is scheduled for Friday noon unless otherwise requested by Client.  This briefing will be suitable for presentation to a broad range of management and technical audiences within Client organization.  The briefing will last 1-2 hours.  The briefing will be delivered by Altos/MarketPoint people assisted by Client people at Altos’ discretion.  In other words, Altos will accept full responsibility for the briefing, but it will be acceptable and in fact desirable if one or more client staff wishes to substitute for an Altos person.</w:t>
      </w:r>
    </w:p>
    <w:p>
      <w:pPr>
        <w:pStyle w:val="Normal"/>
        <w:jc w:val="both"/>
        <w:rPr>
          <w:rFonts w:eastAsia="MS Mincho;ＭＳ 明朝"/>
        </w:rPr>
      </w:pPr>
      <w:r>
        <w:rPr>
          <w:rFonts w:eastAsia="MS Mincho;ＭＳ 明朝"/>
        </w:rPr>
      </w:r>
    </w:p>
    <w:p>
      <w:pPr>
        <w:pStyle w:val="Normal"/>
        <w:numPr>
          <w:ilvl w:val="0"/>
          <w:numId w:val="3"/>
        </w:numPr>
        <w:jc w:val="both"/>
        <w:rPr>
          <w:rFonts w:eastAsia="MS Mincho;ＭＳ 明朝"/>
        </w:rPr>
      </w:pPr>
      <w:r>
        <w:rPr>
          <w:rFonts w:eastAsia="MS Mincho;ＭＳ 明朝"/>
          <w:b/>
          <w:bCs/>
          <w:u w:val="single"/>
        </w:rPr>
        <w:t>Acceptance or Rejection of Annual Marketpoint License.</w:t>
      </w:r>
      <w:r>
        <w:rPr>
          <w:rFonts w:eastAsia="MS Mincho;ＭＳ 明朝"/>
        </w:rPr>
        <w:t xml:space="preserve">  By Friday at 4:00 pm, Client will decide whether they want to accept and conclude the full annual MarketPoint license.  If Client elects in writing not to do so, we dismount the model from the two Client computers and terminate the session (but retain the $12,500 plus travel and expenses).  If Client decides to conclude the full annual MarketPoint license, we provide our full documentation and we present an invoice for the balance of the first year license fee, which is due and payable within 30 days therefrom.</w:t>
      </w:r>
    </w:p>
    <w:p>
      <w:pPr>
        <w:pStyle w:val="Normal"/>
        <w:jc w:val="both"/>
        <w:rPr>
          <w:rFonts w:eastAsia="MS Mincho;ＭＳ 明朝"/>
        </w:rPr>
      </w:pPr>
      <w:r>
        <w:rPr>
          <w:rFonts w:eastAsia="MS Mincho;ＭＳ 明朝"/>
        </w:rPr>
      </w:r>
    </w:p>
    <w:p>
      <w:pPr>
        <w:pStyle w:val="Normal"/>
        <w:ind w:firstLine="360" w:end="0"/>
        <w:jc w:val="both"/>
        <w:rPr>
          <w:rFonts w:eastAsia="MS Mincho;ＭＳ 明朝"/>
        </w:rPr>
      </w:pPr>
      <w:r>
        <w:rPr>
          <w:rFonts w:eastAsia="MS Mincho;ＭＳ 明朝"/>
        </w:rPr>
        <w:t>If at any time during the process, Client elects to continue the MarketPoint license, Client shall have the right to completely reschedule and redirect the remainder of time on the project to whatever use it might desire.  In other words, an earlier than required acceptance of MarketPoint will give the Client flexibility to apply the resources of this project to be scheduled and retargeted toward whatever alternative tasks it may so desire.</w:t>
      </w:r>
    </w:p>
    <w:p>
      <w:pPr>
        <w:pStyle w:val="Normal"/>
        <w:jc w:val="both"/>
        <w:rPr>
          <w:rFonts w:eastAsia="MS Mincho;ＭＳ 明朝"/>
        </w:rPr>
      </w:pPr>
      <w:r>
        <w:rPr>
          <w:rFonts w:eastAsia="MS Mincho;ＭＳ 明朝"/>
        </w:rPr>
      </w:r>
      <w:r>
        <w:br w:type="page"/>
      </w:r>
    </w:p>
    <w:p>
      <w:pPr>
        <w:pStyle w:val="Normal"/>
        <w:jc w:val="both"/>
        <w:rPr>
          <w:rFonts w:eastAsia="MS Mincho;ＭＳ 明朝"/>
        </w:rPr>
      </w:pPr>
      <w:r>
        <w:rPr>
          <w:rFonts w:eastAsia="MS Mincho;ＭＳ 明朝"/>
        </w:rPr>
      </w:r>
    </w:p>
    <w:p>
      <w:pPr>
        <w:pStyle w:val="Heading1"/>
        <w:ind w:hanging="0" w:start="0"/>
        <w:jc w:val="both"/>
        <w:rPr/>
      </w:pPr>
      <w:bookmarkStart w:id="6" w:name="__RefHeading___Toc500065789"/>
      <w:bookmarkEnd w:id="6"/>
      <w:r>
        <w:rPr/>
        <w:t>APPROVALS</w:t>
      </w:r>
    </w:p>
    <w:p>
      <w:pPr>
        <w:pStyle w:val="Normal"/>
        <w:jc w:val="both"/>
        <w:rPr>
          <w:rFonts w:eastAsia="MS Mincho;ＭＳ 明朝"/>
        </w:rPr>
      </w:pPr>
      <w:r>
        <w:rPr>
          <w:rFonts w:eastAsia="MS Mincho;ＭＳ 明朝"/>
        </w:rPr>
      </w:r>
    </w:p>
    <w:p>
      <w:pPr>
        <w:pStyle w:val="Heading2"/>
        <w:ind w:hanging="0" w:start="0"/>
        <w:jc w:val="both"/>
        <w:rPr/>
      </w:pPr>
      <w:bookmarkStart w:id="7" w:name="__RefHeading___Toc500065790"/>
      <w:bookmarkEnd w:id="7"/>
      <w:r>
        <w:rPr/>
        <w:t>Test Project</w:t>
      </w:r>
    </w:p>
    <w:p>
      <w:pPr>
        <w:sectPr>
          <w:headerReference w:type="default" r:id="rId7"/>
          <w:headerReference w:type="first" r:id="rId8"/>
          <w:footerReference w:type="default" r:id="rId9"/>
          <w:footerReference w:type="first" r:id="rId10"/>
          <w:type w:val="nextPage"/>
          <w:pgSz w:w="12240" w:h="15840"/>
          <w:pgMar w:left="1325" w:right="1325" w:gutter="0" w:header="720" w:top="1440" w:footer="720" w:bottom="1440"/>
          <w:pgNumType w:fmt="decimal"/>
          <w:formProt w:val="false"/>
          <w:titlePg/>
          <w:textDirection w:val="lrTb"/>
          <w:docGrid w:type="default" w:linePitch="360" w:charSpace="0"/>
        </w:sectPr>
      </w:pP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Name</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Title</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Date</w:t>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Name</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Title</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Date</w:t>
      </w:r>
    </w:p>
    <w:p>
      <w:pPr>
        <w:pStyle w:val="Normal"/>
        <w:jc w:val="both"/>
        <w:rPr>
          <w:rFonts w:eastAsia="MS Mincho;ＭＳ 明朝"/>
        </w:rPr>
      </w:pPr>
      <w:r>
        <w:rPr>
          <w:rFonts w:eastAsia="MS Mincho;ＭＳ 明朝"/>
        </w:rPr>
        <w:t>MarketPoint Inc.</w:t>
      </w:r>
    </w:p>
    <w:p>
      <w:pPr>
        <w:pStyle w:val="Normal"/>
        <w:jc w:val="both"/>
        <w:rPr>
          <w:rFonts w:eastAsia="MS Mincho;ＭＳ 明朝"/>
        </w:rPr>
      </w:pPr>
      <w:r>
        <w:rPr>
          <w:rFonts w:eastAsia="MS Mincho;ＭＳ 明朝"/>
        </w:rPr>
        <w:t>27121 Adonna Ct.</w:t>
      </w:r>
    </w:p>
    <w:p>
      <w:pPr>
        <w:pStyle w:val="Normal"/>
        <w:jc w:val="both"/>
        <w:rPr>
          <w:rFonts w:eastAsia="MS Mincho;ＭＳ 明朝"/>
        </w:rPr>
      </w:pPr>
      <w:r>
        <w:rPr>
          <w:rFonts w:eastAsia="MS Mincho;ＭＳ 明朝"/>
        </w:rPr>
        <w:t>Los Altos Hills, CA  94022</w:t>
      </w:r>
    </w:p>
    <w:p>
      <w:pPr>
        <w:pStyle w:val="Normal"/>
        <w:jc w:val="both"/>
        <w:rPr>
          <w:rFonts w:eastAsia="MS Mincho;ＭＳ 明朝"/>
          <w:color w:val="000000"/>
        </w:rPr>
      </w:pPr>
      <w:r>
        <w:rPr>
          <w:rFonts w:eastAsia="MS Mincho;ＭＳ 明朝"/>
          <w:color w:val="000000"/>
        </w:rPr>
        <w:t>(650)218-3069</w:t>
      </w:r>
    </w:p>
    <w:p>
      <w:pPr>
        <w:pStyle w:val="Normal"/>
        <w:jc w:val="both"/>
        <w:rPr>
          <w:rFonts w:eastAsia="MS Mincho;ＭＳ 明朝"/>
          <w:color w:val="000000"/>
        </w:rPr>
      </w:pPr>
      <w:hyperlink r:id="rId11">
        <w:r>
          <w:rPr>
            <w:rStyle w:val="Hyperlink"/>
            <w:rFonts w:eastAsia="MS Mincho;ＭＳ 明朝"/>
            <w:color w:val="000000"/>
            <w:u w:val="none"/>
          </w:rPr>
          <w:t>dale.nesbitt@marketpointinc.com</w:t>
        </w:r>
      </w:hyperlink>
    </w:p>
    <w:p>
      <w:pPr>
        <w:pStyle w:val="Normal"/>
        <w:jc w:val="both"/>
        <w:rPr>
          <w:rFonts w:eastAsia="MS Mincho;ＭＳ 明朝"/>
          <w:color w:val="000000"/>
        </w:rPr>
      </w:pPr>
      <w:r>
        <w:rPr>
          <w:rFonts w:eastAsia="MS Mincho;ＭＳ 明朝"/>
          <w:color w:val="000000"/>
        </w:rPr>
      </w:r>
    </w:p>
    <w:p>
      <w:pPr>
        <w:pStyle w:val="Normal"/>
        <w:jc w:val="both"/>
        <w:rPr>
          <w:rFonts w:eastAsia="MS Mincho;ＭＳ 明朝"/>
        </w:rPr>
      </w:pPr>
      <w:r>
        <w:rPr>
          <w:rFonts w:eastAsia="MS Mincho;ＭＳ 明朝"/>
        </w:rPr>
      </w:r>
    </w:p>
    <w:p>
      <w:pPr>
        <w:sectPr>
          <w:type w:val="continuous"/>
          <w:pgSz w:w="12240" w:h="15840"/>
          <w:pgMar w:left="1319" w:right="1319" w:gutter="0" w:header="720" w:top="1440" w:footer="720" w:bottom="1440"/>
          <w:cols w:num="2" w:space="708" w:equalWidth="true" w:sep="false"/>
          <w:formProt w:val="false"/>
          <w:titlePg/>
          <w:textDirection w:val="lrTb"/>
          <w:docGrid w:type="default" w:linePitch="360" w:charSpace="0"/>
        </w:sectPr>
      </w:pPr>
    </w:p>
    <w:p>
      <w:pPr>
        <w:pStyle w:val="Heading2"/>
        <w:ind w:hanging="0" w:start="0"/>
        <w:jc w:val="both"/>
        <w:rPr/>
      </w:pPr>
      <w:bookmarkStart w:id="8" w:name="__RefHeading___Toc500065791"/>
      <w:bookmarkEnd w:id="8"/>
      <w:r>
        <w:rPr/>
        <w:t>Full Acceptance of MarketPoint License (To Be Concluded Within Five Days of Initiation of Test Project)</w:t>
      </w:r>
    </w:p>
    <w:p>
      <w:pPr>
        <w:sectPr>
          <w:type w:val="continuous"/>
          <w:pgSz w:w="12240" w:h="15840"/>
          <w:pgMar w:left="1319" w:right="1319" w:gutter="0" w:header="720" w:top="1440" w:footer="720" w:bottom="1440"/>
          <w:formProt w:val="false"/>
          <w:titlePg/>
          <w:textDirection w:val="lrTb"/>
          <w:docGrid w:type="default" w:linePitch="360" w:charSpace="0"/>
        </w:sectPr>
      </w:pP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Accept</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Name</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Title</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Date</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Decline</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Name</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Title</w:t>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r>
    </w:p>
    <w:p>
      <w:pPr>
        <w:pStyle w:val="Normal"/>
        <w:jc w:val="both"/>
        <w:rPr>
          <w:rFonts w:eastAsia="MS Mincho;ＭＳ 明朝"/>
        </w:rPr>
      </w:pPr>
      <w:r>
        <w:rPr>
          <w:rFonts w:eastAsia="MS Mincho;ＭＳ 明朝"/>
        </w:rPr>
        <w:t xml:space="preserve">______________________________ </w:t>
      </w:r>
    </w:p>
    <w:p>
      <w:pPr>
        <w:pStyle w:val="Normal"/>
        <w:jc w:val="both"/>
        <w:rPr>
          <w:rFonts w:eastAsia="MS Mincho;ＭＳ 明朝"/>
        </w:rPr>
      </w:pPr>
      <w:r>
        <w:rPr>
          <w:rFonts w:eastAsia="MS Mincho;ＭＳ 明朝"/>
        </w:rPr>
        <w:t>Date</w:t>
      </w:r>
    </w:p>
    <w:sectPr>
      <w:type w:val="continuous"/>
      <w:pgSz w:w="12240" w:h="15840"/>
      <w:pgMar w:left="1319" w:right="1319" w:gutter="0" w:header="720" w:top="1440" w:footer="720" w:bottom="1440"/>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t>Confidential and Proprietary to Altos Management Partners and MarketPoint Inc.</w:t>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Header"/>
      <w:jc w:val="end"/>
      <w:rPr>
        <w:rStyle w:val="PageNumber"/>
      </w:rPr>
    </w:pPr>
    <w:r>
      <w:rPr>
        <w:rStyle w:val="PageNumber"/>
      </w:rPr>
      <w:fldChar w:fldCharType="begin"/>
    </w:r>
    <w:r>
      <w:rPr>
        <w:rStyle w:val="PageNumber"/>
      </w:rPr>
      <w:instrText xml:space="preserve"> DATE \@"MMMM\ d', 'yyyy" </w:instrText>
    </w:r>
    <w:r>
      <w:rPr>
        <w:rStyle w:val="PageNumber"/>
      </w:rPr>
      <w:fldChar w:fldCharType="separate"/>
    </w:r>
    <w:r>
      <w:rPr>
        <w:rStyle w:val="PageNumber"/>
      </w:rPr>
      <w:t>September 28, 2025</w:t>
    </w:r>
    <w:r>
      <w:rPr>
        <w:rStyle w:val="PageNumber"/>
      </w:rPr>
      <w:fldChar w:fldCharType="end"/>
    </w:r>
  </w:p>
  <w:p>
    <w:pPr>
      <w:pStyle w:val="Header"/>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Task %1:  "/>
      <w:lvlJc w:val="start"/>
      <w:pPr>
        <w:tabs>
          <w:tab w:val="num" w:pos="1080"/>
        </w:tabs>
        <w:ind w:start="360" w:hanging="360"/>
      </w:pPr>
      <w:rPr/>
    </w:lvl>
    <w:lvl w:ilvl="1">
      <w:start w:val="1"/>
      <w:numFmt w:val="decimal"/>
      <w:lvlText w:val="Subtask %2:  "/>
      <w:lvlJc w:val="start"/>
      <w:pPr>
        <w:tabs>
          <w:tab w:val="num" w:pos="1800"/>
        </w:tabs>
        <w:ind w:start="720" w:hanging="360"/>
      </w:pPr>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eastAsia="MS Mincho;ＭＳ 明朝"/>
      <w:b/>
      <w:bCs/>
      <w:kern w:val="2"/>
      <w:szCs w:val="32"/>
    </w:rPr>
  </w:style>
  <w:style w:type="paragraph" w:styleId="Heading2">
    <w:name w:val="heading 2"/>
    <w:basedOn w:val="Normal"/>
    <w:next w:val="Normal"/>
    <w:qFormat/>
    <w:pPr>
      <w:keepNext w:val="true"/>
      <w:numPr>
        <w:ilvl w:val="1"/>
        <w:numId w:val="1"/>
      </w:numPr>
      <w:spacing w:before="240" w:after="60"/>
      <w:outlineLvl w:val="1"/>
    </w:pPr>
    <w:rPr>
      <w:rFonts w:eastAsia="MS Mincho;ＭＳ 明朝"/>
      <w:b/>
      <w:bCs/>
      <w:sz w:val="22"/>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9z0">
    <w:name w:val="WW8Num9z0"/>
    <w:qFormat/>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eastAsia="MS Mincho;ＭＳ 明朝"/>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szCs w:val="20"/>
    </w:rPr>
  </w:style>
  <w:style w:type="paragraph" w:styleId="TOC1">
    <w:name w:val="toc 1"/>
    <w:basedOn w:val="Normal"/>
    <w:next w:val="Normal"/>
    <w:pPr/>
    <w:rPr>
      <w:rFonts w:eastAsia="MS Mincho;ＭＳ 明朝"/>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
    <w:name w:val="Body Text Indent"/>
    <w:basedOn w:val="Normal"/>
    <w:pPr>
      <w:ind w:firstLine="360" w:start="0" w:end="0"/>
      <w:jc w:val="both"/>
    </w:pPr>
    <w:rPr>
      <w:rFonts w:eastAsia="MS Mincho;ＭＳ 明朝"/>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jc w:val="both"/>
    </w:pPr>
    <w:rPr>
      <w:rFonts w:eastAsia="MS Mincho;ＭＳ 明朝"/>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hyperlink" Target="mailto:dale.Nesbitt@altosmgmt.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yperlink" Target="mailto:dale.nesbitt@marketpointinc.com"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2000-11-29T02:21:00Z</dcterms:created>
  <dc:creator>Dale M. Nesbitt</dc:creator>
  <dc:description/>
  <dc:language>en-CA</dc:language>
  <cp:lastModifiedBy>Dale M. Nesbitt</cp:lastModifiedBy>
  <dcterms:modified xsi:type="dcterms:W3CDTF">2000-11-29T02:21:00Z</dcterms:modified>
  <cp:revision>2</cp:revision>
  <dc:subject/>
  <dc:title>TASK STATEMENT UNDER PROVISION "H</dc:title>
</cp:coreProperties>
</file>