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sz w:val="32"/>
        </w:rPr>
      </w:pPr>
      <w:r>
        <w:rPr>
          <w:sz w:val="32"/>
        </w:rPr>
        <w:t>TESEO BERGOGLIO</w:t>
      </w:r>
    </w:p>
    <w:p>
      <w:pPr>
        <w:pStyle w:val="Normal"/>
        <w:jc w:val="center"/>
        <w:rPr/>
      </w:pPr>
      <w:r>
        <w:rPr/>
        <w:t>2320 40</w:t>
      </w:r>
      <w:r>
        <w:rPr>
          <w:vertAlign w:val="superscript"/>
        </w:rPr>
        <w:t>th</w:t>
      </w:r>
      <w:r>
        <w:rPr/>
        <w:t xml:space="preserve"> St. NW Apt. # 4</w:t>
      </w:r>
    </w:p>
    <w:p>
      <w:pPr>
        <w:pStyle w:val="Normal"/>
        <w:jc w:val="center"/>
        <w:rPr/>
      </w:pPr>
      <w:r>
        <w:rPr/>
        <w:t>Washington, DC 20007</w:t>
      </w:r>
    </w:p>
    <w:p>
      <w:pPr>
        <w:pStyle w:val="Normal"/>
        <w:tabs>
          <w:tab w:val="clear" w:pos="720"/>
          <w:tab w:val="left" w:pos="180" w:leader="none"/>
          <w:tab w:val="right" w:pos="9720" w:leader="none"/>
        </w:tabs>
        <w:jc w:val="center"/>
        <w:rPr/>
      </w:pPr>
      <w:r>
        <w:rPr/>
        <w:t xml:space="preserve">(202) 338-3985 </w:t>
      </w:r>
      <w:r>
        <w:rPr>
          <w:rFonts w:eastAsia="Symbol" w:cs="Symbol" w:ascii="Symbol" w:hAnsi="Symbol"/>
        </w:rPr>
        <w:sym w:font="Symbol" w:char="f0b7"/>
      </w:r>
      <w:r>
        <w:rPr/>
        <w:t xml:space="preserve"> tb@msb.edu</w:t>
      </w:r>
    </w:p>
    <w:p>
      <w:pPr>
        <w:pStyle w:val="Normal"/>
        <w:tabs>
          <w:tab w:val="clear" w:pos="720"/>
          <w:tab w:val="left" w:pos="180" w:leader="none"/>
          <w:tab w:val="right" w:pos="9720" w:leader="none"/>
        </w:tabs>
        <w:jc w:val="center"/>
        <w:rPr>
          <w:b/>
          <w:sz w:val="16"/>
          <w:u w:val="single"/>
        </w:rPr>
      </w:pPr>
      <w:r>
        <w:rPr>
          <w:b/>
          <w:sz w:val="16"/>
          <w:u w:val="single"/>
        </w:rPr>
      </w:r>
    </w:p>
    <w:p>
      <w:pPr>
        <w:pStyle w:val="Heading3"/>
        <w:tabs>
          <w:tab w:val="clear" w:pos="9720"/>
          <w:tab w:val="left" w:pos="180" w:leader="none"/>
          <w:tab w:val="right" w:pos="10260" w:leader="none"/>
        </w:tabs>
        <w:ind w:hanging="0" w:start="0"/>
        <w:rPr>
          <w:sz w:val="26"/>
        </w:rPr>
      </w:pPr>
      <w:r>
        <w:rPr>
          <w:sz w:val="26"/>
        </w:rPr>
        <w:t>EDUCATION</w:t>
        <w:tab/>
      </w:r>
    </w:p>
    <w:p>
      <w:pPr>
        <w:pStyle w:val="Normal"/>
        <w:tabs>
          <w:tab w:val="clear" w:pos="720"/>
          <w:tab w:val="left" w:pos="180" w:leader="none"/>
          <w:tab w:val="right" w:pos="10260" w:leader="none"/>
        </w:tabs>
        <w:rPr/>
      </w:pPr>
      <w:r>
        <w:rPr>
          <w:b/>
          <w:sz w:val="22"/>
        </w:rPr>
        <w:t>GEORGETOWN UNIVERSITY</w:t>
      </w:r>
      <w:r>
        <w:rPr>
          <w:sz w:val="22"/>
        </w:rPr>
        <w:tab/>
      </w:r>
      <w:r>
        <w:rPr>
          <w:b/>
          <w:sz w:val="22"/>
        </w:rPr>
        <w:t>Washington DC, USA</w:t>
      </w:r>
    </w:p>
    <w:p>
      <w:pPr>
        <w:pStyle w:val="Normal"/>
        <w:tabs>
          <w:tab w:val="clear" w:pos="720"/>
          <w:tab w:val="left" w:pos="180" w:leader="none"/>
          <w:tab w:val="right" w:pos="10260" w:leader="none"/>
        </w:tabs>
        <w:rPr>
          <w:sz w:val="22"/>
        </w:rPr>
      </w:pPr>
      <w:r>
        <w:rPr>
          <w:b/>
          <w:sz w:val="22"/>
        </w:rPr>
        <w:t>Master of Business Administration</w:t>
      </w:r>
      <w:r>
        <w:rPr>
          <w:sz w:val="22"/>
        </w:rPr>
        <w:tab/>
      </w:r>
      <w:r>
        <w:rPr>
          <w:i/>
          <w:sz w:val="22"/>
        </w:rPr>
        <w:t>May 2001</w:t>
      </w:r>
    </w:p>
    <w:p>
      <w:pPr>
        <w:pStyle w:val="Normal"/>
        <w:numPr>
          <w:ilvl w:val="0"/>
          <w:numId w:val="3"/>
        </w:numPr>
        <w:tabs>
          <w:tab w:val="clear" w:pos="720"/>
          <w:tab w:val="left" w:pos="180" w:leader="none"/>
          <w:tab w:val="right" w:pos="10260" w:leader="none"/>
        </w:tabs>
        <w:rPr>
          <w:sz w:val="22"/>
        </w:rPr>
      </w:pPr>
      <w:r>
        <w:rPr>
          <w:sz w:val="22"/>
        </w:rPr>
        <w:t>Texaco/McDonough School of Business Scholars 2000-01</w:t>
      </w:r>
    </w:p>
    <w:p>
      <w:pPr>
        <w:pStyle w:val="Normal"/>
        <w:tabs>
          <w:tab w:val="clear" w:pos="720"/>
          <w:tab w:val="left" w:pos="180" w:leader="none"/>
          <w:tab w:val="right" w:pos="10260" w:leader="none"/>
        </w:tabs>
        <w:spacing w:lineRule="auto" w:line="216"/>
        <w:rPr>
          <w:b/>
          <w:sz w:val="22"/>
        </w:rPr>
      </w:pPr>
      <w:r>
        <w:rPr>
          <w:b/>
          <w:sz w:val="22"/>
        </w:rPr>
      </w:r>
    </w:p>
    <w:p>
      <w:pPr>
        <w:pStyle w:val="Normal"/>
        <w:tabs>
          <w:tab w:val="clear" w:pos="720"/>
          <w:tab w:val="left" w:pos="180" w:leader="none"/>
          <w:tab w:val="right" w:pos="10260" w:leader="none"/>
        </w:tabs>
        <w:rPr/>
      </w:pPr>
      <w:r>
        <w:rPr>
          <w:b/>
          <w:sz w:val="22"/>
          <w:lang w:val="es-ES"/>
        </w:rPr>
        <w:t>UNIVERSIDAD DE CEMA</w:t>
      </w:r>
      <w:r>
        <w:rPr>
          <w:sz w:val="22"/>
          <w:lang w:val="es-ES"/>
        </w:rPr>
        <w:tab/>
      </w:r>
      <w:r>
        <w:rPr>
          <w:b/>
          <w:sz w:val="22"/>
          <w:lang w:val="es-ES"/>
        </w:rPr>
        <w:t>Buenos Aires, Argentina</w:t>
      </w:r>
    </w:p>
    <w:p>
      <w:pPr>
        <w:pStyle w:val="Normal"/>
        <w:tabs>
          <w:tab w:val="clear" w:pos="720"/>
          <w:tab w:val="left" w:pos="90" w:leader="none"/>
          <w:tab w:val="left" w:pos="180" w:leader="none"/>
          <w:tab w:val="right" w:pos="10260" w:leader="none"/>
        </w:tabs>
        <w:rPr>
          <w:i/>
          <w:i/>
        </w:rPr>
      </w:pPr>
      <w:r>
        <w:rPr>
          <w:b/>
          <w:sz w:val="22"/>
        </w:rPr>
        <w:t>Master of Economics</w:t>
      </w:r>
      <w:r>
        <w:rPr>
          <w:sz w:val="22"/>
        </w:rPr>
        <w:tab/>
      </w:r>
      <w:r>
        <w:rPr>
          <w:i/>
          <w:sz w:val="22"/>
        </w:rPr>
        <w:t>December 1997</w:t>
      </w:r>
    </w:p>
    <w:p>
      <w:pPr>
        <w:pStyle w:val="Normal"/>
        <w:tabs>
          <w:tab w:val="clear" w:pos="720"/>
          <w:tab w:val="left" w:pos="180" w:leader="none"/>
          <w:tab w:val="right" w:pos="10260" w:leader="none"/>
        </w:tabs>
        <w:spacing w:lineRule="auto" w:line="216"/>
        <w:rPr>
          <w:i/>
          <w:i/>
          <w:sz w:val="10"/>
        </w:rPr>
      </w:pPr>
      <w:r>
        <w:rPr>
          <w:i/>
          <w:sz w:val="10"/>
        </w:rPr>
      </w:r>
    </w:p>
    <w:p>
      <w:pPr>
        <w:pStyle w:val="Normal"/>
        <w:tabs>
          <w:tab w:val="clear" w:pos="720"/>
          <w:tab w:val="left" w:pos="180" w:leader="none"/>
          <w:tab w:val="right" w:pos="10260" w:leader="none"/>
        </w:tabs>
        <w:rPr>
          <w:sz w:val="22"/>
          <w:lang w:val="es-ES"/>
        </w:rPr>
      </w:pPr>
      <w:r>
        <w:rPr>
          <w:b/>
          <w:sz w:val="22"/>
          <w:lang w:val="es-ES"/>
        </w:rPr>
        <w:t>UNIVERSIDAD DEL SALVADOR</w:t>
      </w:r>
      <w:r>
        <w:rPr>
          <w:sz w:val="22"/>
          <w:lang w:val="es-ES"/>
        </w:rPr>
        <w:tab/>
      </w:r>
      <w:r>
        <w:rPr>
          <w:b/>
          <w:sz w:val="22"/>
          <w:lang w:val="es-ES"/>
        </w:rPr>
        <w:t>Buenos Aires, Argentina</w:t>
      </w:r>
    </w:p>
    <w:p>
      <w:pPr>
        <w:pStyle w:val="Normal"/>
        <w:tabs>
          <w:tab w:val="clear" w:pos="720"/>
          <w:tab w:val="left" w:pos="180" w:leader="none"/>
          <w:tab w:val="right" w:pos="10260" w:leader="none"/>
        </w:tabs>
        <w:rPr>
          <w:b/>
          <w:sz w:val="22"/>
          <w:u w:val="single"/>
        </w:rPr>
      </w:pPr>
      <w:r>
        <w:rPr>
          <w:b/>
          <w:sz w:val="22"/>
        </w:rPr>
        <w:t>Bachelor of Business Administration (Accounting Analysis Major)</w:t>
      </w:r>
      <w:r>
        <w:rPr>
          <w:i/>
          <w:sz w:val="22"/>
        </w:rPr>
        <w:tab/>
        <w:t>December 1995</w:t>
      </w:r>
    </w:p>
    <w:p>
      <w:pPr>
        <w:pStyle w:val="Normal"/>
        <w:numPr>
          <w:ilvl w:val="0"/>
          <w:numId w:val="3"/>
        </w:numPr>
        <w:tabs>
          <w:tab w:val="clear" w:pos="720"/>
          <w:tab w:val="left" w:pos="180" w:leader="none"/>
          <w:tab w:val="right" w:pos="10260" w:leader="none"/>
        </w:tabs>
        <w:rPr>
          <w:b/>
          <w:sz w:val="22"/>
          <w:u w:val="single"/>
        </w:rPr>
      </w:pPr>
      <w:r>
        <w:rPr>
          <w:sz w:val="22"/>
        </w:rPr>
        <w:t xml:space="preserve">Instructor in Principles of Economics </w:t>
      </w:r>
    </w:p>
    <w:p>
      <w:pPr>
        <w:pStyle w:val="Normal"/>
        <w:numPr>
          <w:ilvl w:val="0"/>
          <w:numId w:val="3"/>
        </w:numPr>
        <w:tabs>
          <w:tab w:val="clear" w:pos="720"/>
          <w:tab w:val="left" w:pos="180" w:leader="none"/>
          <w:tab w:val="right" w:pos="10260" w:leader="none"/>
        </w:tabs>
        <w:rPr>
          <w:b/>
          <w:sz w:val="22"/>
          <w:u w:val="single"/>
        </w:rPr>
      </w:pPr>
      <w:r>
        <w:rPr>
          <w:sz w:val="22"/>
        </w:rPr>
        <w:t>Exchange Program Spring Semester 1995 at Georgetown University School of Business (15 credits).</w:t>
      </w:r>
    </w:p>
    <w:p>
      <w:pPr>
        <w:pStyle w:val="Normal"/>
        <w:tabs>
          <w:tab w:val="clear" w:pos="720"/>
          <w:tab w:val="left" w:pos="180" w:leader="none"/>
          <w:tab w:val="right" w:pos="9720" w:leader="none"/>
        </w:tabs>
        <w:spacing w:lineRule="auto" w:line="216"/>
        <w:rPr>
          <w:b/>
          <w:sz w:val="10"/>
          <w:u w:val="single"/>
        </w:rPr>
      </w:pPr>
      <w:r>
        <w:rPr>
          <w:b/>
          <w:sz w:val="10"/>
          <w:u w:val="single"/>
        </w:rPr>
      </w:r>
    </w:p>
    <w:p>
      <w:pPr>
        <w:pStyle w:val="Heading4"/>
        <w:ind w:hanging="0" w:start="0"/>
        <w:rPr/>
      </w:pPr>
      <w:r>
        <w:rPr/>
        <w:t>EXPERIENCE</w:t>
        <w:tab/>
      </w:r>
    </w:p>
    <w:p>
      <w:pPr>
        <w:pStyle w:val="Normal"/>
        <w:tabs>
          <w:tab w:val="clear" w:pos="720"/>
          <w:tab w:val="left" w:pos="180" w:leader="none"/>
          <w:tab w:val="right" w:pos="10260" w:leader="none"/>
        </w:tabs>
        <w:rPr>
          <w:sz w:val="22"/>
        </w:rPr>
      </w:pPr>
      <w:r>
        <w:rPr>
          <w:b/>
          <w:sz w:val="22"/>
        </w:rPr>
        <w:t>INTERAMERICAN INVESTMENT CORPORATION (IDB Group)</w:t>
        <w:tab/>
        <w:t xml:space="preserve"> Washington DC, USA</w:t>
      </w:r>
    </w:p>
    <w:p>
      <w:pPr>
        <w:pStyle w:val="Heading2"/>
        <w:tabs>
          <w:tab w:val="clear" w:pos="720"/>
          <w:tab w:val="right" w:pos="10260" w:leader="none"/>
        </w:tabs>
        <w:ind w:hanging="0" w:start="0"/>
        <w:rPr/>
      </w:pPr>
      <w:r>
        <w:rPr>
          <w:sz w:val="22"/>
        </w:rPr>
        <w:t>Summer Intern – Financial Institutions</w:t>
        <w:tab/>
      </w:r>
      <w:r>
        <w:rPr>
          <w:b w:val="false"/>
          <w:sz w:val="22"/>
        </w:rPr>
        <w:t>June 2000 – Present</w:t>
      </w:r>
    </w:p>
    <w:p>
      <w:pPr>
        <w:pStyle w:val="Normal"/>
        <w:numPr>
          <w:ilvl w:val="0"/>
          <w:numId w:val="2"/>
        </w:numPr>
        <w:jc w:val="both"/>
        <w:rPr>
          <w:sz w:val="22"/>
        </w:rPr>
      </w:pPr>
      <w:r>
        <w:rPr>
          <w:sz w:val="22"/>
        </w:rPr>
        <w:t>Evaluate portfolio of investments of approximately US$100MM in 23 Private Equity Funds in Latin America. Report findings to Investment Committee and Board of Directors. The IDB Group is the largest player in the region in number of Funds.</w:t>
      </w:r>
    </w:p>
    <w:p>
      <w:pPr>
        <w:pStyle w:val="Normal"/>
        <w:numPr>
          <w:ilvl w:val="0"/>
          <w:numId w:val="2"/>
        </w:numPr>
        <w:jc w:val="both"/>
        <w:rPr>
          <w:sz w:val="22"/>
        </w:rPr>
      </w:pPr>
      <w:r>
        <w:rPr>
          <w:sz w:val="22"/>
        </w:rPr>
        <w:t>Analyzed a US$10MM equity investment in Banco de Desarrollo (Chile). Findings resulted in improved negotiation terms for the IIC.  Appraised potential investments in several Private Equity Funds and participated in Investment Committee Process.</w:t>
      </w:r>
    </w:p>
    <w:p>
      <w:pPr>
        <w:pStyle w:val="Normal"/>
        <w:tabs>
          <w:tab w:val="clear" w:pos="720"/>
          <w:tab w:val="left" w:pos="180" w:leader="none"/>
          <w:tab w:val="right" w:pos="10260" w:leader="none"/>
        </w:tabs>
        <w:rPr>
          <w:sz w:val="10"/>
        </w:rPr>
      </w:pPr>
      <w:r>
        <w:rPr>
          <w:sz w:val="10"/>
        </w:rPr>
      </w:r>
    </w:p>
    <w:p>
      <w:pPr>
        <w:pStyle w:val="Normal"/>
        <w:tabs>
          <w:tab w:val="clear" w:pos="720"/>
          <w:tab w:val="left" w:pos="180" w:leader="none"/>
          <w:tab w:val="right" w:pos="10260" w:leader="none"/>
        </w:tabs>
        <w:rPr>
          <w:sz w:val="22"/>
        </w:rPr>
      </w:pPr>
      <w:r>
        <w:rPr>
          <w:b/>
          <w:sz w:val="22"/>
          <w:lang w:val="es-ES"/>
        </w:rPr>
        <w:t>BBV, BANCO FRANCES S.A.</w:t>
      </w:r>
      <w:r>
        <w:rPr>
          <w:sz w:val="22"/>
          <w:lang w:val="es-ES"/>
        </w:rPr>
        <w:tab/>
      </w:r>
      <w:r>
        <w:rPr>
          <w:b/>
          <w:sz w:val="22"/>
          <w:lang w:val="es-ES"/>
        </w:rPr>
        <w:t xml:space="preserve"> </w:t>
      </w:r>
      <w:r>
        <w:rPr>
          <w:b/>
          <w:sz w:val="22"/>
        </w:rPr>
        <w:t>Buenos Aires, Argentina</w:t>
      </w:r>
    </w:p>
    <w:p>
      <w:pPr>
        <w:pStyle w:val="Heading2"/>
        <w:tabs>
          <w:tab w:val="clear" w:pos="720"/>
          <w:tab w:val="right" w:pos="10260" w:leader="none"/>
        </w:tabs>
        <w:ind w:hanging="0" w:start="0"/>
        <w:rPr/>
      </w:pPr>
      <w:r>
        <w:rPr>
          <w:sz w:val="22"/>
        </w:rPr>
        <w:t>Senior Account Officer – Corporate Banking</w:t>
        <w:tab/>
      </w:r>
      <w:r>
        <w:rPr>
          <w:b w:val="false"/>
          <w:sz w:val="22"/>
        </w:rPr>
        <w:t>September 1995 - August 1999</w:t>
      </w:r>
    </w:p>
    <w:p>
      <w:pPr>
        <w:pStyle w:val="Normal"/>
        <w:numPr>
          <w:ilvl w:val="0"/>
          <w:numId w:val="2"/>
        </w:numPr>
        <w:jc w:val="both"/>
        <w:rPr>
          <w:sz w:val="22"/>
        </w:rPr>
      </w:pPr>
      <w:r>
        <w:rPr>
          <w:sz w:val="22"/>
        </w:rPr>
        <w:t>Managed portfolio of over 50 leading companies with revenues from US$100MM to above US$1B for second largest bank in Argentina. Increased portfolio size in related industries by 60%.</w:t>
      </w:r>
    </w:p>
    <w:p>
      <w:pPr>
        <w:pStyle w:val="Normal"/>
        <w:numPr>
          <w:ilvl w:val="0"/>
          <w:numId w:val="5"/>
        </w:numPr>
        <w:jc w:val="both"/>
        <w:rPr>
          <w:sz w:val="22"/>
        </w:rPr>
      </w:pPr>
      <w:r>
        <w:rPr>
          <w:sz w:val="22"/>
        </w:rPr>
        <w:t>Originated, negotiated and sold integral non-credit services for steel and cement companies resulting in more than US$1MM in revenues per year. Evaluated and cross-sold credit and non-credit products based on clients’ needs. Analyzed companies’ financial and economic performances. Proposed appropriate credit facilities to Credit Committee based on findings, gaining high exposure within the Bank’s Board in early stages.</w:t>
      </w:r>
    </w:p>
    <w:p>
      <w:pPr>
        <w:pStyle w:val="Normal"/>
        <w:numPr>
          <w:ilvl w:val="0"/>
          <w:numId w:val="4"/>
        </w:numPr>
        <w:jc w:val="both"/>
        <w:rPr>
          <w:b/>
          <w:sz w:val="22"/>
        </w:rPr>
      </w:pPr>
      <w:r>
        <w:rPr>
          <w:sz w:val="22"/>
        </w:rPr>
        <w:t xml:space="preserve">Tripled size of portfolio in two years from US$70MM to US$200MM. Negotiated with CFOs to bring IPOs, FRNs, Syndicated Loans and Long Term Project Financing to market. Analyzed clients’ capital structures and recommended strategic domestic and international financing alternatives. </w:t>
      </w:r>
    </w:p>
    <w:p>
      <w:pPr>
        <w:pStyle w:val="Normal"/>
        <w:numPr>
          <w:ilvl w:val="0"/>
          <w:numId w:val="4"/>
        </w:numPr>
        <w:jc w:val="both"/>
        <w:rPr>
          <w:b/>
          <w:sz w:val="22"/>
        </w:rPr>
      </w:pPr>
      <w:r>
        <w:rPr>
          <w:sz w:val="22"/>
        </w:rPr>
        <w:t>Won New Account Competition (5 awards given among 5,000 employees).</w:t>
      </w:r>
    </w:p>
    <w:p>
      <w:pPr>
        <w:pStyle w:val="Normal"/>
        <w:numPr>
          <w:ilvl w:val="0"/>
          <w:numId w:val="4"/>
        </w:numPr>
        <w:jc w:val="both"/>
        <w:rPr>
          <w:b/>
          <w:sz w:val="22"/>
        </w:rPr>
      </w:pPr>
      <w:r>
        <w:rPr>
          <w:sz w:val="22"/>
        </w:rPr>
        <w:t>Led efforts to develop customized products, including tax-exempt back-to-back loan (US$55MM, one time transaction), factoring and collection systems (US$100MM annual flow), and supplier payment systems (US$200MM annual flow).</w:t>
      </w:r>
    </w:p>
    <w:p>
      <w:pPr>
        <w:pStyle w:val="Normal"/>
        <w:tabs>
          <w:tab w:val="clear" w:pos="720"/>
          <w:tab w:val="left" w:pos="180" w:leader="none"/>
          <w:tab w:val="right" w:pos="10260" w:leader="none"/>
        </w:tabs>
        <w:rPr>
          <w:b/>
          <w:sz w:val="10"/>
        </w:rPr>
      </w:pPr>
      <w:r>
        <w:rPr>
          <w:b/>
          <w:sz w:val="10"/>
        </w:rPr>
      </w:r>
    </w:p>
    <w:p>
      <w:pPr>
        <w:pStyle w:val="Normal"/>
        <w:tabs>
          <w:tab w:val="clear" w:pos="720"/>
          <w:tab w:val="left" w:pos="180" w:leader="none"/>
          <w:tab w:val="right" w:pos="10260" w:leader="none"/>
        </w:tabs>
        <w:rPr>
          <w:sz w:val="22"/>
          <w:lang w:val="es-ES"/>
        </w:rPr>
      </w:pPr>
      <w:r>
        <w:rPr>
          <w:b/>
          <w:sz w:val="22"/>
          <w:lang w:val="es-ES"/>
        </w:rPr>
        <w:t>TELEX S.A.</w:t>
      </w:r>
      <w:r>
        <w:rPr>
          <w:sz w:val="22"/>
          <w:lang w:val="es-ES"/>
        </w:rPr>
        <w:tab/>
      </w:r>
      <w:r>
        <w:rPr>
          <w:b/>
          <w:sz w:val="22"/>
          <w:lang w:val="es-ES"/>
        </w:rPr>
        <w:t>Buenos Aires, Argentina</w:t>
      </w:r>
    </w:p>
    <w:p>
      <w:pPr>
        <w:pStyle w:val="Heading2"/>
        <w:tabs>
          <w:tab w:val="clear" w:pos="720"/>
          <w:tab w:val="right" w:pos="10260" w:leader="none"/>
        </w:tabs>
        <w:ind w:hanging="0" w:start="0"/>
        <w:rPr>
          <w:rFonts w:ascii="Garamond" w:hAnsi="Garamond" w:cs="Garamond"/>
          <w:sz w:val="22"/>
        </w:rPr>
      </w:pPr>
      <w:r>
        <w:rPr>
          <w:sz w:val="22"/>
        </w:rPr>
        <w:t xml:space="preserve">Purchasing Manager for European Markets </w:t>
        <w:tab/>
      </w:r>
      <w:r>
        <w:rPr>
          <w:b w:val="false"/>
          <w:sz w:val="22"/>
        </w:rPr>
        <w:t>June 1992- November 1994</w:t>
      </w:r>
    </w:p>
    <w:p>
      <w:pPr>
        <w:pStyle w:val="Normal"/>
        <w:numPr>
          <w:ilvl w:val="0"/>
          <w:numId w:val="6"/>
        </w:numPr>
        <w:tabs>
          <w:tab w:val="clear" w:pos="720"/>
          <w:tab w:val="left" w:pos="1440" w:leader="none"/>
          <w:tab w:val="right" w:pos="9360" w:leader="none"/>
          <w:tab w:val="right" w:pos="9630" w:leader="none"/>
          <w:tab w:val="right" w:pos="10080" w:leader="none"/>
        </w:tabs>
        <w:jc w:val="both"/>
        <w:rPr>
          <w:sz w:val="22"/>
        </w:rPr>
      </w:pPr>
      <w:r>
        <w:rPr>
          <w:sz w:val="22"/>
        </w:rPr>
        <w:t>Researched product sales trends. Ordered and coordinated imports from foreign factories, reducing stock inventory costs by 20% over two years.</w:t>
      </w:r>
    </w:p>
    <w:p>
      <w:pPr>
        <w:pStyle w:val="Normal"/>
        <w:numPr>
          <w:ilvl w:val="0"/>
          <w:numId w:val="6"/>
        </w:numPr>
        <w:tabs>
          <w:tab w:val="clear" w:pos="720"/>
          <w:tab w:val="left" w:pos="1440" w:leader="none"/>
          <w:tab w:val="right" w:pos="9360" w:leader="none"/>
          <w:tab w:val="right" w:pos="9630" w:leader="none"/>
          <w:tab w:val="right" w:pos="10080" w:leader="none"/>
        </w:tabs>
        <w:jc w:val="both"/>
        <w:rPr>
          <w:sz w:val="22"/>
        </w:rPr>
      </w:pPr>
      <w:r>
        <w:rPr>
          <w:sz w:val="22"/>
        </w:rPr>
        <w:t>Negotiated with senior supplier management on term payments and pricing conditions. European markets products gained importance in overall company revenues, increasing the purchase value by 60%.</w:t>
      </w:r>
    </w:p>
    <w:p>
      <w:pPr>
        <w:pStyle w:val="Normal"/>
        <w:numPr>
          <w:ilvl w:val="0"/>
          <w:numId w:val="6"/>
        </w:numPr>
        <w:tabs>
          <w:tab w:val="clear" w:pos="720"/>
          <w:tab w:val="left" w:pos="1440" w:leader="none"/>
          <w:tab w:val="right" w:pos="9360" w:leader="none"/>
          <w:tab w:val="right" w:pos="9630" w:leader="none"/>
          <w:tab w:val="right" w:pos="10080" w:leader="none"/>
        </w:tabs>
        <w:jc w:val="both"/>
        <w:rPr/>
      </w:pPr>
      <w:r>
        <w:rPr>
          <w:sz w:val="22"/>
        </w:rPr>
        <w:t>Enhanced relationship with suppliers by traveling to industry expositions and suppliers’ factories.</w:t>
      </w:r>
    </w:p>
    <w:p>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180" w:leader="none"/>
          <w:tab w:val="right" w:pos="9720" w:leader="none"/>
        </w:tabs>
        <w:spacing w:lineRule="auto" w:line="216"/>
        <w:rPr>
          <w:rFonts w:ascii="Times New Roman" w:hAnsi="Times New Roman" w:cs="Times New Roman"/>
          <w:sz w:val="10"/>
        </w:rPr>
      </w:pPr>
      <w:r>
        <w:rPr>
          <w:rFonts w:cs="Times New Roman" w:ascii="Times New Roman" w:hAnsi="Times New Roman"/>
          <w:sz w:val="10"/>
        </w:rPr>
      </w:r>
    </w:p>
    <w:p>
      <w:pPr>
        <w:pStyle w:val="Heading3"/>
        <w:tabs>
          <w:tab w:val="clear" w:pos="9720"/>
          <w:tab w:val="left" w:pos="180" w:leader="none"/>
          <w:tab w:val="right" w:pos="10260" w:leader="none"/>
        </w:tabs>
        <w:ind w:hanging="0" w:start="0"/>
        <w:rPr>
          <w:sz w:val="26"/>
        </w:rPr>
      </w:pPr>
      <w:r>
        <w:rPr>
          <w:sz w:val="26"/>
        </w:rPr>
        <w:t>SKILLS/INTERESTS</w:t>
        <w:tab/>
      </w:r>
    </w:p>
    <w:p>
      <w:pPr>
        <w:pStyle w:val="Normal"/>
        <w:tabs>
          <w:tab w:val="clear" w:pos="720"/>
          <w:tab w:val="left" w:pos="1080" w:leader="none"/>
          <w:tab w:val="left" w:pos="1260" w:leader="none"/>
          <w:tab w:val="right" w:pos="9720" w:leader="none"/>
        </w:tabs>
        <w:ind w:hanging="1080" w:start="1080" w:end="0"/>
        <w:rPr/>
      </w:pPr>
      <w:r>
        <w:rPr>
          <w:b/>
          <w:sz w:val="22"/>
        </w:rPr>
        <w:t>Activities:</w:t>
      </w:r>
      <w:r>
        <w:rPr>
          <w:sz w:val="22"/>
        </w:rPr>
        <w:tab/>
        <w:t>Lapacho Foundation for the Poor. Founded Misiones Campaign and personally provided 13 scholarships in a 2-year period to applicants in need and monitored their academic performance.</w:t>
      </w:r>
    </w:p>
    <w:p>
      <w:pPr>
        <w:pStyle w:val="Normal"/>
        <w:tabs>
          <w:tab w:val="clear" w:pos="720"/>
          <w:tab w:val="left" w:pos="1080" w:leader="none"/>
          <w:tab w:val="right" w:pos="9720" w:leader="none"/>
        </w:tabs>
        <w:ind w:hanging="1080" w:start="1080" w:end="0"/>
        <w:rPr/>
      </w:pPr>
      <w:r>
        <w:rPr>
          <w:b/>
          <w:sz w:val="22"/>
        </w:rPr>
        <w:t>Interests:</w:t>
        <w:tab/>
      </w:r>
      <w:r>
        <w:rPr>
          <w:sz w:val="22"/>
        </w:rPr>
        <w:t>Dove the world famous Playa Giron and Cayo Largo Coral Reefs in Cuba. Traveled extensively through more than 25 countries on four continents.</w:t>
      </w:r>
    </w:p>
    <w:p>
      <w:pPr>
        <w:pStyle w:val="Normal"/>
        <w:tabs>
          <w:tab w:val="clear" w:pos="720"/>
          <w:tab w:val="left" w:pos="180" w:leader="none"/>
          <w:tab w:val="left" w:pos="1080" w:leader="none"/>
          <w:tab w:val="left" w:pos="1260" w:leader="none"/>
          <w:tab w:val="right" w:pos="9720" w:leader="none"/>
        </w:tabs>
        <w:rPr/>
      </w:pPr>
      <w:r>
        <w:rPr>
          <w:b/>
          <w:sz w:val="22"/>
        </w:rPr>
        <w:t>Language:</w:t>
      </w:r>
      <w:r>
        <w:rPr>
          <w:sz w:val="22"/>
        </w:rPr>
        <w:tab/>
        <w:t>Spanish, native fluency; Portuguese, conversational; German, basic knowledge.</w:t>
      </w:r>
    </w:p>
    <w:p>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1260" w:leader="none"/>
          <w:tab w:val="right" w:pos="9720" w:leader="none"/>
        </w:tabs>
        <w:rPr>
          <w:rFonts w:ascii="Times New Roman" w:hAnsi="Times New Roman" w:cs="Times New Roman"/>
        </w:rPr>
      </w:pPr>
      <w:r>
        <w:rPr>
          <w:rFonts w:cs="Times New Roman" w:ascii="Times New Roman" w:hAnsi="Times New Roman"/>
        </w:rPr>
        <w:t xml:space="preserve"> </w:t>
      </w:r>
    </w:p>
    <w:sectPr>
      <w:type w:val="nextPage"/>
      <w:pgSz w:w="12240" w:h="15840"/>
      <w:pgMar w:left="1008" w:right="1008" w:gutter="0" w:header="0" w:top="360" w:footer="0" w:bottom="36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 w:name="Tahoma">
    <w:charset w:val="00" w:characterSet="windows-1252"/>
    <w:family w:val="swiss"/>
    <w:pitch w:val="variable"/>
  </w:font>
  <w:font w:name="Garamond">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180" w:leader="none"/>
        <w:tab w:val="right" w:pos="9720" w:leader="none"/>
      </w:tabs>
      <w:jc w:val="center"/>
      <w:outlineLvl w:val="0"/>
    </w:pPr>
    <w:rPr>
      <w:b/>
      <w:sz w:val="24"/>
    </w:rPr>
  </w:style>
  <w:style w:type="paragraph" w:styleId="Heading2">
    <w:name w:val="heading 2"/>
    <w:basedOn w:val="Normal"/>
    <w:next w:val="Normal"/>
    <w:qFormat/>
    <w:pPr>
      <w:keepNext w:val="true"/>
      <w:numPr>
        <w:ilvl w:val="1"/>
        <w:numId w:val="1"/>
      </w:numPr>
      <w:outlineLvl w:val="1"/>
    </w:pPr>
    <w:rPr>
      <w:b/>
      <w:i/>
    </w:rPr>
  </w:style>
  <w:style w:type="paragraph" w:styleId="Heading3">
    <w:name w:val="heading 3"/>
    <w:basedOn w:val="Normal"/>
    <w:next w:val="Normal"/>
    <w:qFormat/>
    <w:pPr>
      <w:keepNext w:val="true"/>
      <w:numPr>
        <w:ilvl w:val="2"/>
        <w:numId w:val="1"/>
      </w:numPr>
      <w:tabs>
        <w:tab w:val="clear" w:pos="720"/>
        <w:tab w:val="left" w:pos="180" w:leader="none"/>
        <w:tab w:val="right" w:pos="9720" w:leader="none"/>
      </w:tabs>
      <w:outlineLvl w:val="2"/>
    </w:pPr>
    <w:rPr>
      <w:b/>
      <w:sz w:val="24"/>
      <w:u w:val="single"/>
    </w:rPr>
  </w:style>
  <w:style w:type="paragraph" w:styleId="Heading4">
    <w:name w:val="heading 4"/>
    <w:basedOn w:val="Normal"/>
    <w:next w:val="Normal"/>
    <w:qFormat/>
    <w:pPr>
      <w:keepNext w:val="true"/>
      <w:numPr>
        <w:ilvl w:val="3"/>
        <w:numId w:val="1"/>
      </w:numPr>
      <w:tabs>
        <w:tab w:val="clear" w:pos="720"/>
        <w:tab w:val="left" w:pos="180" w:leader="none"/>
        <w:tab w:val="right" w:pos="10260" w:leader="none"/>
      </w:tabs>
      <w:outlineLvl w:val="3"/>
    </w:pPr>
    <w:rPr>
      <w:b/>
      <w:sz w:val="26"/>
      <w:u w:val="single"/>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St1z0">
    <w:name w:val="WW8NumSt1z0"/>
    <w:qFormat/>
    <w:rPr>
      <w:rFonts w:ascii="Symbol" w:hAnsi="Symbol" w:cs="Symbol"/>
    </w:rPr>
  </w:style>
  <w:style w:type="character" w:styleId="WW8NumSt10z0">
    <w:name w:val="WW8NumSt10z0"/>
    <w:qFormat/>
    <w:rPr>
      <w:rFonts w:ascii="Symbol" w:hAnsi="Symbol" w:cs="Symbol"/>
      <w:b w:val="false"/>
      <w:i w:val="false"/>
      <w:sz w:val="24"/>
      <w:u w:val="none"/>
    </w:rPr>
  </w:style>
  <w:style w:type="character" w:styleId="WW8NumSt12z0">
    <w:name w:val="WW8NumSt12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2000-10-27T03:07:00Z</dcterms:created>
  <dc:creator>.</dc:creator>
  <dc:description>sample resume for Resume Book</dc:description>
  <dc:language>en-CA</dc:language>
  <cp:lastModifiedBy>Bergoglio</cp:lastModifiedBy>
  <cp:lastPrinted>2000-09-08T00:59:00Z</cp:lastPrinted>
  <dcterms:modified xsi:type="dcterms:W3CDTF">2000-10-27T03:07:00Z</dcterms:modified>
  <cp:revision>2</cp:revision>
  <dc:subject/>
  <dc:title>JANE SMITH</dc:title>
</cp:coreProperties>
</file>