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rPr>
      </w:pPr>
      <w:r>
        <w:rPr>
          <w:b/>
        </w:rPr>
        <w:t>ENRON NORTH AMERICA CORP.</w:t>
      </w:r>
    </w:p>
    <w:p>
      <w:pPr>
        <w:pStyle w:val="Normal"/>
        <w:jc w:val="center"/>
        <w:rPr>
          <w:b/>
        </w:rPr>
      </w:pPr>
      <w:r>
        <w:rPr>
          <w:b/>
        </w:rPr>
      </w:r>
    </w:p>
    <w:p>
      <w:pPr>
        <w:pStyle w:val="Normal"/>
        <w:jc w:val="center"/>
        <w:rPr>
          <w:b/>
        </w:rPr>
      </w:pPr>
      <w:r>
        <w:rPr>
          <w:b/>
        </w:rPr>
        <w:t>CALPINE CORPORATION</w:t>
      </w:r>
    </w:p>
    <w:p>
      <w:pPr>
        <w:pStyle w:val="Normal"/>
        <w:jc w:val="center"/>
        <w:rPr>
          <w:b/>
        </w:rPr>
      </w:pPr>
      <w:r>
        <w:rPr>
          <w:b/>
        </w:rPr>
      </w:r>
    </w:p>
    <w:p>
      <w:pPr>
        <w:pStyle w:val="Normal"/>
        <w:jc w:val="center"/>
        <w:rPr>
          <w:b/>
        </w:rPr>
      </w:pPr>
      <w:r>
        <w:rPr>
          <w:b/>
        </w:rPr>
        <w:t xml:space="preserve">SUMMARY OF CERTAIN TERMS AND CONDITIONS </w:t>
      </w:r>
    </w:p>
    <w:p>
      <w:pPr>
        <w:pStyle w:val="Normal"/>
        <w:jc w:val="center"/>
        <w:rPr>
          <w:b/>
        </w:rPr>
      </w:pPr>
      <w:r>
        <w:rPr>
          <w:b/>
        </w:rPr>
      </w:r>
    </w:p>
    <w:p>
      <w:pPr>
        <w:pStyle w:val="Normal"/>
        <w:jc w:val="both"/>
        <w:rPr>
          <w:b/>
          <w:smallCaps/>
          <w:sz w:val="20"/>
        </w:rPr>
      </w:pPr>
      <w:r>
        <w:rPr>
          <w:b/>
          <w:smallCaps/>
          <w:sz w:val="20"/>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rPr>
          <w:b/>
          <w:smallCaps/>
          <w:sz w:val="20"/>
        </w:rPr>
      </w:pPr>
      <w:r>
        <w:rPr>
          <w:b/>
          <w:smallCaps/>
          <w:sz w:val="20"/>
        </w:rPr>
      </w:r>
    </w:p>
    <w:p>
      <w:pPr>
        <w:pStyle w:val="Heading2"/>
        <w:ind w:hanging="0" w:start="0"/>
        <w:rPr>
          <w:u w:val="single"/>
        </w:rPr>
      </w:pPr>
      <w:r>
        <w:rPr>
          <w:u w:val="single"/>
        </w:rPr>
        <w:t>PROJECT DESCRIPTION</w:t>
      </w:r>
    </w:p>
    <w:p>
      <w:pPr>
        <w:pStyle w:val="Normal"/>
        <w:rPr>
          <w:sz w:val="22"/>
          <w:u w:val="single"/>
        </w:rPr>
      </w:pPr>
      <w:r>
        <w:rPr>
          <w:sz w:val="22"/>
          <w:u w:val="single"/>
        </w:rPr>
      </w:r>
    </w:p>
    <w:p>
      <w:pPr>
        <w:pStyle w:val="Normal"/>
        <w:jc w:val="both"/>
        <w:rPr>
          <w:sz w:val="22"/>
        </w:rPr>
      </w:pPr>
      <w:r>
        <w:rPr>
          <w:sz w:val="22"/>
        </w:rPr>
        <w:t xml:space="preserve">Enron North America Corp. (“ENA”) would sell natural gas and, at a later date, permanently release its pipeline capacity on the Pacific Gas Transmission Company – Northwest (“PGT”) interstate pipeline to Calpine Corporation (“Calpine”) subject to the terms and conditions set forth herein. </w:t>
      </w:r>
    </w:p>
    <w:p>
      <w:pPr>
        <w:pStyle w:val="Normal"/>
        <w:rPr>
          <w:b/>
          <w:smallCaps/>
          <w:sz w:val="22"/>
        </w:rPr>
      </w:pPr>
      <w:r>
        <w:rPr>
          <w:b/>
          <w:smallCaps/>
          <w:sz w:val="22"/>
        </w:rPr>
      </w:r>
    </w:p>
    <w:p>
      <w:pPr>
        <w:pStyle w:val="Normal"/>
        <w:rPr>
          <w:b/>
          <w:smallCaps/>
        </w:rPr>
      </w:pPr>
      <w:r>
        <w:rPr>
          <w:b/>
          <w:smallCaps/>
        </w:rPr>
      </w:r>
    </w:p>
    <w:p>
      <w:pPr>
        <w:pStyle w:val="Heading1"/>
        <w:ind w:hanging="0" w:start="0"/>
        <w:jc w:val="both"/>
        <w:rPr>
          <w:u w:val="single"/>
        </w:rPr>
      </w:pPr>
      <w:r>
        <w:rPr>
          <w:u w:val="single"/>
        </w:rPr>
        <w:t xml:space="preserve">Index Sale Terms &amp; Conditions </w:t>
      </w:r>
    </w:p>
    <w:p>
      <w:pPr>
        <w:pStyle w:val="Header"/>
        <w:tabs>
          <w:tab w:val="clear" w:pos="4680"/>
          <w:tab w:val="clear" w:pos="9360"/>
        </w:tabs>
        <w:jc w:val="both"/>
        <w:rPr>
          <w:u w:val="single"/>
        </w:rPr>
      </w:pPr>
      <w:r>
        <w:rPr>
          <w:u w:val="single"/>
        </w:rPr>
      </w:r>
    </w:p>
    <w:p>
      <w:pPr>
        <w:pStyle w:val="Header"/>
        <w:tabs>
          <w:tab w:val="clear" w:pos="4680"/>
          <w:tab w:val="clear" w:pos="9360"/>
          <w:tab w:val="left" w:pos="2880" w:leader="none"/>
        </w:tabs>
        <w:jc w:val="both"/>
        <w:rPr/>
      </w:pPr>
      <w:r>
        <w:rPr>
          <w:b/>
          <w:u w:val="single"/>
        </w:rPr>
        <w:t>Seller</w:t>
      </w:r>
      <w:r>
        <w:rPr>
          <w:b/>
        </w:rPr>
        <w:tab/>
      </w:r>
      <w:r>
        <w:rPr/>
        <w:t>ENA</w:t>
      </w:r>
    </w:p>
    <w:p>
      <w:pPr>
        <w:pStyle w:val="Header"/>
        <w:tabs>
          <w:tab w:val="clear" w:pos="4680"/>
          <w:tab w:val="clear" w:pos="9360"/>
          <w:tab w:val="left" w:pos="2880" w:leader="none"/>
        </w:tabs>
        <w:jc w:val="both"/>
        <w:rPr/>
      </w:pPr>
      <w:r>
        <w:rPr/>
      </w:r>
    </w:p>
    <w:p>
      <w:pPr>
        <w:pStyle w:val="Header"/>
        <w:tabs>
          <w:tab w:val="clear" w:pos="4680"/>
          <w:tab w:val="clear" w:pos="9360"/>
          <w:tab w:val="left" w:pos="2880" w:leader="none"/>
        </w:tabs>
        <w:ind w:hanging="2880" w:start="2880" w:end="0"/>
        <w:jc w:val="both"/>
        <w:rPr/>
      </w:pPr>
      <w:r>
        <w:rPr>
          <w:b/>
        </w:rPr>
        <w:t>Buyer</w:t>
        <w:tab/>
      </w:r>
      <w:r>
        <w:rPr/>
        <w:t>Calpine or any affiliate of Calpine that meets with ENA’s credit     requirements</w:t>
      </w:r>
    </w:p>
    <w:p>
      <w:pPr>
        <w:pStyle w:val="Header"/>
        <w:tabs>
          <w:tab w:val="clear" w:pos="4680"/>
          <w:tab w:val="clear" w:pos="9360"/>
          <w:tab w:val="left" w:pos="2880" w:leader="none"/>
        </w:tabs>
        <w:jc w:val="both"/>
        <w:rPr/>
      </w:pPr>
      <w:r>
        <w:rPr/>
      </w:r>
    </w:p>
    <w:p>
      <w:pPr>
        <w:pStyle w:val="Normal"/>
        <w:tabs>
          <w:tab w:val="clear" w:pos="720"/>
          <w:tab w:val="left" w:pos="2880" w:leader="none"/>
        </w:tabs>
        <w:jc w:val="both"/>
        <w:rPr/>
      </w:pPr>
      <w:r>
        <w:rPr>
          <w:b/>
          <w:u w:val="single"/>
        </w:rPr>
        <w:t>Term</w:t>
      </w:r>
      <w:r>
        <w:rPr/>
        <w:tab/>
        <w:t>May 1, 2001 – October 31, 2008</w:t>
      </w:r>
    </w:p>
    <w:p>
      <w:pPr>
        <w:pStyle w:val="Normal"/>
        <w:tabs>
          <w:tab w:val="clear" w:pos="720"/>
          <w:tab w:val="left" w:pos="2880" w:leader="none"/>
        </w:tabs>
        <w:jc w:val="both"/>
        <w:rPr/>
      </w:pPr>
      <w:r>
        <w:rPr/>
      </w:r>
    </w:p>
    <w:p>
      <w:pPr>
        <w:pStyle w:val="Normal"/>
        <w:tabs>
          <w:tab w:val="clear" w:pos="720"/>
          <w:tab w:val="left" w:pos="2880" w:leader="none"/>
        </w:tabs>
        <w:jc w:val="both"/>
        <w:rPr/>
      </w:pPr>
      <w:r>
        <w:rPr>
          <w:b/>
          <w:u w:val="single"/>
        </w:rPr>
        <w:t>Product</w:t>
      </w:r>
      <w:r>
        <w:rPr/>
        <w:tab/>
        <w:t xml:space="preserve">Firm Purchase/Sale of Natural gas </w:t>
      </w:r>
    </w:p>
    <w:p>
      <w:pPr>
        <w:pStyle w:val="Header"/>
        <w:tabs>
          <w:tab w:val="clear" w:pos="4680"/>
          <w:tab w:val="clear" w:pos="9360"/>
          <w:tab w:val="left" w:pos="2880" w:leader="none"/>
        </w:tabs>
        <w:jc w:val="both"/>
        <w:rPr/>
      </w:pPr>
      <w:r>
        <w:rPr/>
      </w:r>
    </w:p>
    <w:p>
      <w:pPr>
        <w:pStyle w:val="BodyTextIndent"/>
        <w:jc w:val="both"/>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u w:val="single"/>
        </w:rPr>
        <w:t>Alternate Delivery Point</w:t>
      </w:r>
      <w:r>
        <w:rPr/>
        <w:tab/>
        <w:t xml:space="preserve">All points available on the PGT pipeline system, subject to the terms and conditions of PGT’s FERC gas tariff. </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u w:val="single"/>
        </w:rPr>
        <w:t>Quantity</w:t>
      </w:r>
      <w:r>
        <w:rPr>
          <w:b/>
        </w:rPr>
        <w:tab/>
      </w:r>
      <w:r>
        <w:rPr/>
        <w:t xml:space="preserve">37,500 MMbtu/day  </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b/>
          <w:u w:val="single"/>
        </w:rPr>
      </w:pPr>
      <w:r>
        <w:rPr>
          <w:b/>
          <w:u w:val="single"/>
        </w:rPr>
      </w:r>
    </w:p>
    <w:p>
      <w:pPr>
        <w:pStyle w:val="Normal"/>
        <w:tabs>
          <w:tab w:val="clear" w:pos="720"/>
          <w:tab w:val="left" w:pos="2880" w:leader="none"/>
        </w:tabs>
        <w:ind w:hanging="2880" w:start="2880" w:end="0"/>
        <w:jc w:val="both"/>
        <w:rPr/>
      </w:pPr>
      <w:r>
        <w:rPr>
          <w:b/>
          <w:u w:val="single"/>
        </w:rPr>
        <w:t>Contract Price</w:t>
      </w:r>
      <w:r>
        <w:rPr/>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jc w:val="both"/>
        <w:rPr/>
      </w:pPr>
      <w:r>
        <w:rPr/>
        <w:tab/>
      </w:r>
    </w:p>
    <w:p>
      <w:pPr>
        <w:pStyle w:val="BodyTextIndent"/>
        <w:jc w:val="both"/>
        <w:rPr/>
      </w:pPr>
      <w:r>
        <w:rPr/>
        <w:tab/>
        <w:t>May 1, 2001 – October 31, 2001:</w:t>
        <w:tab/>
        <w:t xml:space="preserve"> less $.1375/MMbtu</w:t>
      </w:r>
    </w:p>
    <w:p>
      <w:pPr>
        <w:pStyle w:val="BodyTextIndent"/>
        <w:jc w:val="both"/>
        <w:rPr/>
      </w:pPr>
      <w:r>
        <w:rPr/>
        <w:tab/>
        <w:t>Nov 1, 2001 – October 31, 2003:</w:t>
        <w:tab/>
        <w:t xml:space="preserve"> plus $.03/MMbtu</w:t>
      </w:r>
    </w:p>
    <w:p>
      <w:pPr>
        <w:pStyle w:val="Normal"/>
        <w:tabs>
          <w:tab w:val="clear" w:pos="720"/>
          <w:tab w:val="left" w:pos="2880" w:leader="none"/>
        </w:tabs>
        <w:ind w:start="2880" w:end="0"/>
        <w:jc w:val="both"/>
        <w:rPr/>
      </w:pPr>
      <w:r>
        <w:rPr/>
        <w:t>Nov 1, 2003 – October 31, 2008:</w:t>
        <w:tab/>
        <w:t xml:space="preserve"> plus $.005/MMbtu </w:t>
      </w:r>
    </w:p>
    <w:p>
      <w:pPr>
        <w:pStyle w:val="Normal"/>
        <w:tabs>
          <w:tab w:val="clear" w:pos="720"/>
          <w:tab w:val="left" w:pos="2880" w:leader="none"/>
        </w:tabs>
        <w:ind w:hanging="2880" w:start="2880" w:end="0"/>
        <w:jc w:val="both"/>
        <w:rPr/>
      </w:pPr>
      <w:r>
        <w:rPr/>
        <w:tab/>
        <w:tab/>
      </w:r>
    </w:p>
    <w:p>
      <w:pPr>
        <w:pStyle w:val="Normal"/>
        <w:tabs>
          <w:tab w:val="clear" w:pos="720"/>
          <w:tab w:val="left" w:pos="2880" w:leader="none"/>
        </w:tabs>
        <w:ind w:hanging="2880" w:start="2880" w:end="0"/>
        <w:jc w:val="both"/>
        <w:rPr/>
      </w:pPr>
      <w:r>
        <w:rPr/>
        <w:t xml:space="preserve"> </w:t>
      </w:r>
      <w:r>
        <w:rPr/>
        <w:tab/>
      </w:r>
      <w:r>
        <w:rPr>
          <w:b/>
          <w:u w:val="single"/>
        </w:rPr>
        <w:t>Alternate Contract Price</w:t>
      </w:r>
      <w:r>
        <w:rPr/>
        <w:tab/>
        <w:t>For quantities delivered to an alternate delivery point(s), the Contract Price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point(s). Variable charges are defined as the mileage-based fuel and mileage based delivery charge components set forth in PGT’s FERC gas tariff.</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pPr>
      <w:r>
        <w:rPr>
          <w:b/>
          <w:u w:val="single"/>
        </w:rPr>
        <w:t>Force Majeure</w:t>
      </w:r>
      <w:r>
        <w:rPr/>
        <w:t xml:space="preserve"> </w:t>
        <w:tab/>
        <w:t>ENA shall have the right to curtail delivery to Calpine based on Force Majeure on ENA’s applicable transportation (Nova, ANG and PGT). Calpine shall have the right to curtail receipt based on Force Majeure if there is a curtailment of firm service or an interruption of firm service with respect to the facilities of PGT and PG&amp;E at Malin, Oregon.</w:t>
        <w:tab/>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b/>
          <w:bCs/>
          <w:u w:val="single"/>
        </w:rPr>
        <w:t>Enfolio Agreement</w:t>
      </w:r>
      <w:r>
        <w:rPr/>
        <w:tab/>
        <w:t>Calpine shall negotiate in good faith with ENA to enter into a Enfolio® Master Firm Purchase/Sale Agreement and Confirmation which reflects the terms of the gas sale as described herein.  Calpine shall also meet the credit requirements of ENA as set forth in the Enfolio® Master Firm Purchase/Sale Agreement.</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1"/>
        <w:ind w:hanging="0" w:start="0"/>
        <w:jc w:val="both"/>
        <w:rPr>
          <w:u w:val="single"/>
        </w:rPr>
      </w:pPr>
      <w:r>
        <w:rPr>
          <w:u w:val="single"/>
        </w:rPr>
        <w:t xml:space="preserve">Permanent Release – PGT Capacity </w:t>
      </w:r>
    </w:p>
    <w:p>
      <w:pPr>
        <w:pStyle w:val="Header"/>
        <w:tabs>
          <w:tab w:val="clear" w:pos="4680"/>
          <w:tab w:val="clear" w:pos="9360"/>
        </w:tabs>
        <w:jc w:val="both"/>
        <w:rPr>
          <w:u w:val="single"/>
        </w:rPr>
      </w:pPr>
      <w:r>
        <w:rPr>
          <w:u w:val="single"/>
        </w:rPr>
      </w:r>
    </w:p>
    <w:p>
      <w:pPr>
        <w:pStyle w:val="Header"/>
        <w:tabs>
          <w:tab w:val="clear" w:pos="4680"/>
          <w:tab w:val="clear" w:pos="9360"/>
        </w:tabs>
        <w:jc w:val="both"/>
        <w:rPr/>
      </w:pPr>
      <w:r>
        <w:rPr/>
      </w:r>
    </w:p>
    <w:p>
      <w:pPr>
        <w:pStyle w:val="Normal"/>
        <w:tabs>
          <w:tab w:val="clear" w:pos="720"/>
          <w:tab w:val="left" w:pos="2880" w:leader="none"/>
        </w:tabs>
        <w:jc w:val="both"/>
        <w:rPr/>
      </w:pPr>
      <w:r>
        <w:rPr>
          <w:b/>
          <w:u w:val="single"/>
        </w:rPr>
        <w:t>Period of Assignment</w:t>
      </w:r>
      <w:r>
        <w:rPr>
          <w:b/>
        </w:rPr>
        <w:t xml:space="preserve"> </w:t>
        <w:tab/>
      </w:r>
      <w:r>
        <w:rPr/>
        <w:t>November 1, 2008 – October 31, 2023</w:t>
      </w:r>
    </w:p>
    <w:p>
      <w:pPr>
        <w:pStyle w:val="Normal"/>
        <w:tabs>
          <w:tab w:val="clear" w:pos="720"/>
          <w:tab w:val="left" w:pos="2880" w:leader="none"/>
        </w:tabs>
        <w:jc w:val="both"/>
        <w:rPr/>
      </w:pPr>
      <w:r>
        <w:rPr/>
      </w:r>
    </w:p>
    <w:p>
      <w:pPr>
        <w:pStyle w:val="Normal"/>
        <w:ind w:hanging="2880" w:start="2880" w:end="0"/>
        <w:jc w:val="both"/>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jc w:val="both"/>
        <w:rPr>
          <w:sz w:val="22"/>
        </w:rPr>
      </w:pPr>
      <w:r>
        <w:rPr>
          <w:sz w:val="22"/>
        </w:rPr>
      </w:r>
    </w:p>
    <w:p>
      <w:pPr>
        <w:pStyle w:val="Normal"/>
        <w:tabs>
          <w:tab w:val="clear" w:pos="720"/>
          <w:tab w:val="left" w:pos="2880" w:leader="none"/>
        </w:tabs>
        <w:ind w:hanging="2880" w:start="2880" w:end="0"/>
        <w:jc w:val="both"/>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jc w:val="both"/>
        <w:rPr/>
      </w:pPr>
      <w:r>
        <w:rPr/>
      </w:r>
    </w:p>
    <w:p>
      <w:pPr>
        <w:pStyle w:val="BodyTextIndent"/>
        <w:jc w:val="both"/>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u w:val="single"/>
        </w:rPr>
        <w:t>Secondary Delivery Point(s)</w:t>
      </w:r>
      <w:r>
        <w:rPr/>
        <w:tab/>
        <w:t xml:space="preserve">All points available on the PGT pipeline system, subject to the terms and conditions of PGT’s  FERC Gas tariff. </w:t>
      </w:r>
    </w:p>
    <w:p>
      <w:pPr>
        <w:pStyle w:val="Header"/>
        <w:tabs>
          <w:tab w:val="clear" w:pos="4680"/>
          <w:tab w:val="clear" w:pos="9360"/>
          <w:tab w:val="left" w:pos="2880" w:leader="none"/>
        </w:tabs>
        <w:jc w:val="both"/>
        <w:rPr/>
      </w:pPr>
      <w:r>
        <w:rPr/>
      </w:r>
    </w:p>
    <w:p>
      <w:pPr>
        <w:pStyle w:val="Normal"/>
        <w:tabs>
          <w:tab w:val="clear" w:pos="720"/>
          <w:tab w:val="left" w:pos="2880" w:leader="none"/>
        </w:tabs>
        <w:ind w:hanging="2880" w:start="2880" w:end="0"/>
        <w:jc w:val="both"/>
        <w:rPr/>
      </w:pPr>
      <w:r>
        <w:rPr>
          <w:b/>
          <w:u w:val="single"/>
        </w:rPr>
        <w:t>Delivered Quantity</w:t>
      </w:r>
      <w:r>
        <w:rPr>
          <w:b/>
        </w:rPr>
        <w:tab/>
      </w:r>
      <w:r>
        <w:rPr/>
        <w:t>57,500 MMBtu/day</w:t>
      </w:r>
      <w:r>
        <w:rPr>
          <w:b/>
        </w:rPr>
        <w:t xml:space="preserve">  </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start="2880" w:end="0"/>
        <w:jc w:val="both"/>
        <w:rPr>
          <w:b/>
        </w:rPr>
      </w:pPr>
      <w:r>
        <w:rPr>
          <w:b/>
        </w:rPr>
      </w:r>
    </w:p>
    <w:p>
      <w:pPr>
        <w:pStyle w:val="Heading4"/>
        <w:jc w:val="both"/>
        <w:rPr/>
      </w:pPr>
      <w:r>
        <w:rPr/>
        <w:t>TRANSFER OF CANADIAN CAPACITY</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b/>
          <w:u w:val="single"/>
        </w:rPr>
      </w:pPr>
      <w:r>
        <w:rPr>
          <w:b/>
          <w:u w:val="single"/>
        </w:rPr>
        <w:t xml:space="preserve">Assignment of Renewal  </w:t>
      </w:r>
    </w:p>
    <w:p>
      <w:pPr>
        <w:pStyle w:val="Normal"/>
        <w:tabs>
          <w:tab w:val="clear" w:pos="720"/>
          <w:tab w:val="left" w:pos="2880" w:leader="none"/>
        </w:tabs>
        <w:ind w:hanging="2880" w:start="2880" w:end="0"/>
        <w:jc w:val="both"/>
        <w:rPr/>
      </w:pPr>
      <w:r>
        <w:rPr>
          <w:b/>
          <w:u w:val="single"/>
        </w:rPr>
        <w:t>Rights</w:t>
      </w:r>
      <w:r>
        <w:rPr>
          <w:b/>
        </w:rPr>
        <w:tab/>
      </w:r>
      <w:r>
        <w:rPr/>
        <w:t xml:space="preserve">ENA would assign to Calpine all renewal rights as applicable, on Nova and ANG systems. Service to expire Oct/31/2008.  Calpine shall hold all renewal rights to expiration and may exercise these rights as per the capacity release schedule directed by Nova and ANG prior to the expiration date. </w:t>
      </w:r>
    </w:p>
    <w:p>
      <w:pPr>
        <w:pStyle w:val="Normal"/>
        <w:tabs>
          <w:tab w:val="clear" w:pos="720"/>
          <w:tab w:val="left" w:pos="2880" w:leader="none"/>
        </w:tabs>
        <w:ind w:hanging="2880" w:start="2880" w:end="0"/>
        <w:jc w:val="both"/>
        <w:rPr>
          <w:b/>
        </w:rPr>
      </w:pPr>
      <w:r>
        <w:rPr>
          <w:b/>
        </w:rPr>
      </w:r>
    </w:p>
    <w:p>
      <w:pPr>
        <w:pStyle w:val="Normal"/>
        <w:tabs>
          <w:tab w:val="clear" w:pos="720"/>
          <w:tab w:val="left" w:pos="2880" w:leader="none"/>
        </w:tabs>
        <w:ind w:hanging="2880" w:start="2880" w:end="0"/>
        <w:jc w:val="both"/>
        <w:rPr>
          <w:b/>
          <w:u w:val="single"/>
        </w:rPr>
      </w:pPr>
      <w:r>
        <w:rPr>
          <w:b/>
          <w:u w:val="single"/>
        </w:rPr>
        <w:t xml:space="preserve">Early Assignment of </w:t>
      </w:r>
    </w:p>
    <w:p>
      <w:pPr>
        <w:pStyle w:val="Normal"/>
        <w:tabs>
          <w:tab w:val="clear" w:pos="720"/>
          <w:tab w:val="left" w:pos="2880" w:leader="none"/>
        </w:tabs>
        <w:ind w:hanging="2880" w:start="2880" w:end="0"/>
        <w:jc w:val="both"/>
        <w:rPr/>
      </w:pPr>
      <w:r>
        <w:rPr>
          <w:b/>
          <w:u w:val="single"/>
        </w:rPr>
        <w:t>Capacity</w:t>
      </w:r>
      <w:r>
        <w:rPr>
          <w:b/>
        </w:rPr>
        <w:tab/>
      </w:r>
      <w:r>
        <w:rPr/>
        <w:t>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(the “Offer Letter”).  Calpine would then be afforded an exclusive right to acquire such capacity so long as it accepts all the offered capacity pursuant to the Terms and Conditions contained in the Offer Letter no later than 5 days following Calpine’s receipt of the Offer Letter.</w:t>
      </w:r>
    </w:p>
    <w:p>
      <w:pPr>
        <w:pStyle w:val="Normal"/>
        <w:tabs>
          <w:tab w:val="clear" w:pos="720"/>
          <w:tab w:val="left" w:pos="2880" w:leader="none"/>
        </w:tabs>
        <w:ind w:hanging="2880" w:start="2880" w:end="0"/>
        <w:jc w:val="both"/>
        <w:rPr/>
      </w:pPr>
      <w:r>
        <w:rPr/>
      </w:r>
    </w:p>
    <w:p>
      <w:pPr>
        <w:pStyle w:val="BodyTextIndent"/>
        <w:jc w:val="both"/>
        <w:rPr/>
      </w:pPr>
      <w:r>
        <w:rPr/>
        <w:tab/>
        <w:t xml:space="preserve">In the event that Calpine does not accept this capacity as stated in the Offer Letter and or no other commercial terms can be arranged within this time period, then ENA shall have no further obligations to Calpine on the service offered. </w:t>
      </w:r>
    </w:p>
    <w:p>
      <w:pPr>
        <w:pStyle w:val="Normal"/>
        <w:tabs>
          <w:tab w:val="clear" w:pos="720"/>
          <w:tab w:val="left" w:pos="2880" w:leader="none"/>
        </w:tabs>
        <w:ind w:hanging="2880" w:start="2880" w:end="0"/>
        <w:jc w:val="both"/>
        <w:rPr/>
      </w:pPr>
      <w:r>
        <w:rPr/>
      </w:r>
    </w:p>
    <w:p>
      <w:pPr>
        <w:pStyle w:val="BodyTextIndent"/>
        <w:jc w:val="both"/>
        <w:rPr/>
      </w:pPr>
      <w:r>
        <w:rPr/>
        <w:tab/>
        <w:t>ENA would only be obligated to provide the Offer Letter to Calpine for a period of 1 year from the effective date of the definitive agreements concerning the subject matter contained in this Summary of Certain Terms and Conditions.</w:t>
      </w:r>
    </w:p>
    <w:p>
      <w:pPr>
        <w:pStyle w:val="BodyTextIndent"/>
        <w:jc w:val="both"/>
        <w:rPr/>
      </w:pPr>
      <w:r>
        <w:rPr/>
      </w:r>
    </w:p>
    <w:p>
      <w:pPr>
        <w:pStyle w:val="Heading5"/>
        <w:rPr/>
      </w:pPr>
      <w:r>
        <w:rPr/>
        <w:t>Conditions Precedent</w:t>
      </w:r>
    </w:p>
    <w:p>
      <w:pPr>
        <w:pStyle w:val="Normal"/>
        <w:tabs>
          <w:tab w:val="clear" w:pos="720"/>
          <w:tab w:val="left" w:pos="2880" w:leader="none"/>
        </w:tabs>
        <w:ind w:hanging="2880" w:start="2880" w:end="0"/>
        <w:jc w:val="both"/>
        <w:rPr>
          <w:b/>
          <w:u w:val="single"/>
        </w:rPr>
      </w:pPr>
      <w:r>
        <w:rPr>
          <w:b/>
          <w:u w:val="single"/>
        </w:rPr>
        <w:t>Closing Index Sale and</w:t>
      </w:r>
    </w:p>
    <w:p>
      <w:pPr>
        <w:pStyle w:val="Normal"/>
        <w:tabs>
          <w:tab w:val="clear" w:pos="720"/>
          <w:tab w:val="left" w:pos="2880" w:leader="none"/>
        </w:tabs>
        <w:ind w:hanging="2880" w:start="2880" w:end="0"/>
        <w:jc w:val="both"/>
        <w:rPr/>
      </w:pPr>
      <w:r>
        <w:rPr>
          <w:b/>
          <w:u w:val="single"/>
        </w:rPr>
        <w:t>Capacity Assignments</w:t>
      </w:r>
      <w:r>
        <w:rPr/>
        <w:tab/>
        <w:t>PGT shall confirm that Calpine satisfies the necessary creditworthiness requirements for the purposes of permitting the transfer of the Assigned Capacity to Calpine no later than close of business December 27, 2000.</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pPr>
      <w:r>
        <w:rPr/>
        <w:tab/>
        <w:t>Calpine shall provide all necessary documentation and credit covenants as required by PGT to facilitate the assignment.</w:t>
      </w:r>
    </w:p>
    <w:p>
      <w:pPr>
        <w:pStyle w:val="Normal"/>
        <w:tabs>
          <w:tab w:val="clear" w:pos="720"/>
          <w:tab w:val="left" w:pos="2880" w:leader="none"/>
        </w:tabs>
        <w:ind w:hanging="2880" w:start="2880" w:end="0"/>
        <w:jc w:val="both"/>
        <w:rPr/>
      </w:pPr>
      <w:r>
        <w:rPr/>
        <w:tab/>
      </w:r>
    </w:p>
    <w:p>
      <w:pPr>
        <w:pStyle w:val="Normal"/>
        <w:tabs>
          <w:tab w:val="clear" w:pos="720"/>
          <w:tab w:val="left" w:pos="2880" w:leader="none"/>
        </w:tabs>
        <w:ind w:hanging="2880" w:start="2880" w:end="0"/>
        <w:jc w:val="both"/>
        <w:rPr/>
      </w:pPr>
      <w:r>
        <w:rPr/>
        <w:tab/>
        <w:t>ENA shall be released unconditionally by PGT from any obligations effective as of the date of assignment of the Assigned Capacity from ENA to PGT.</w:t>
      </w:r>
    </w:p>
    <w:p>
      <w:pPr>
        <w:pStyle w:val="Normal"/>
        <w:tabs>
          <w:tab w:val="clear" w:pos="720"/>
          <w:tab w:val="left" w:pos="2880" w:leader="none"/>
        </w:tabs>
        <w:ind w:hanging="2880" w:start="2880" w:end="0"/>
        <w:jc w:val="both"/>
        <w:rPr/>
      </w:pPr>
      <w:r>
        <w:rPr/>
      </w:r>
    </w:p>
    <w:p>
      <w:pPr>
        <w:pStyle w:val="BodyTextIndent2"/>
        <w:rPr/>
      </w:pPr>
      <w:r>
        <w:rPr/>
        <w:tab/>
        <w:t>Calpine shall secure management approval of the transaction by close of business December 27, 2000.</w:t>
      </w:r>
    </w:p>
    <w:p>
      <w:pPr>
        <w:pStyle w:val="BodyTextIndent2"/>
        <w:rPr/>
      </w:pPr>
      <w:r>
        <w:rPr/>
      </w:r>
    </w:p>
    <w:p>
      <w:pPr>
        <w:pStyle w:val="Normal"/>
        <w:jc w:val="both"/>
        <w:rPr>
          <w:sz w:val="22"/>
        </w:rPr>
      </w:pPr>
      <w:r>
        <w:rPr>
          <w:sz w:val="22"/>
        </w:rPr>
        <w:t>I trust that the commercial terms as outlined above are consistent with our previous conversations and we would ask that you indicate your approval by executing  this term sheet and returning a fully executed copy to me.</w:t>
      </w:r>
    </w:p>
    <w:p>
      <w:pPr>
        <w:pStyle w:val="Normal"/>
        <w:jc w:val="both"/>
        <w:rPr>
          <w:sz w:val="22"/>
        </w:rPr>
      </w:pPr>
      <w:r>
        <w:rPr>
          <w:sz w:val="22"/>
        </w:rPr>
        <w:t xml:space="preserve"> </w:t>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w:t>
      </w:r>
    </w:p>
    <w:p>
      <w:pPr>
        <w:pStyle w:val="Normal"/>
        <w:tabs>
          <w:tab w:val="clear" w:pos="720"/>
          <w:tab w:val="left" w:pos="2880" w:leader="none"/>
        </w:tabs>
        <w:ind w:hanging="2880" w:start="2880" w:end="0"/>
        <w:jc w:val="both"/>
        <w:rPr/>
      </w:pPr>
      <w:r>
        <w:rPr/>
        <w:t>Stephanie Miller</w:t>
      </w:r>
    </w:p>
    <w:p>
      <w:pPr>
        <w:pStyle w:val="Normal"/>
        <w:tabs>
          <w:tab w:val="clear" w:pos="720"/>
          <w:tab w:val="left" w:pos="2880" w:leader="none"/>
        </w:tabs>
        <w:ind w:hanging="2880" w:start="2880" w:end="0"/>
        <w:jc w:val="both"/>
        <w:rPr/>
      </w:pPr>
      <w:r>
        <w:rPr/>
        <w:t>Director</w:t>
      </w:r>
    </w:p>
    <w:p>
      <w:pPr>
        <w:pStyle w:val="Normal"/>
        <w:tabs>
          <w:tab w:val="clear" w:pos="720"/>
          <w:tab w:val="left" w:pos="2880" w:leader="none"/>
        </w:tabs>
        <w:ind w:hanging="2880" w:start="2880" w:end="0"/>
        <w:jc w:val="both"/>
        <w:rPr/>
      </w:pPr>
      <w:r>
        <w:rPr/>
        <w:t xml:space="preserve"> </w:t>
      </w:r>
    </w:p>
    <w:p>
      <w:pPr>
        <w:pStyle w:val="Heading6"/>
        <w:rPr/>
      </w:pPr>
      <w:r>
        <w:rPr/>
      </w:r>
    </w:p>
    <w:p>
      <w:pPr>
        <w:pStyle w:val="Heading6"/>
        <w:rPr/>
      </w:pPr>
      <w:r>
        <w:rPr/>
      </w:r>
    </w:p>
    <w:p>
      <w:pPr>
        <w:pStyle w:val="Heading6"/>
        <w:rPr/>
      </w:pPr>
      <w:r>
        <w:rPr/>
        <w:t>Calpine Corporation</w:t>
      </w:r>
    </w:p>
    <w:p>
      <w:pPr>
        <w:pStyle w:val="Normal"/>
        <w:ind w:end="720"/>
        <w:rPr/>
      </w:pPr>
      <w:r>
        <w:rPr/>
      </w:r>
    </w:p>
    <w:p>
      <w:pPr>
        <w:pStyle w:val="Normal"/>
        <w:ind w:end="720"/>
        <w:rPr/>
      </w:pPr>
      <w:r>
        <w:rPr/>
      </w:r>
    </w:p>
    <w:p>
      <w:pPr>
        <w:pStyle w:val="Normal"/>
        <w:ind w:end="720"/>
        <w:rPr/>
      </w:pPr>
      <w:r>
        <w:rPr/>
        <w:t>________________________</w:t>
      </w:r>
    </w:p>
    <w:p>
      <w:pPr>
        <w:pStyle w:val="Normal"/>
        <w:ind w:end="720"/>
        <w:rPr/>
      </w:pPr>
      <w:r>
        <w:rPr/>
        <w:t>Brad Barnds</w:t>
      </w:r>
    </w:p>
    <w:p>
      <w:pPr>
        <w:pStyle w:val="Normal"/>
        <w:ind w:end="720"/>
        <w:rPr/>
      </w:pPr>
      <w:r>
        <w:rPr/>
        <w:t>Vice President  - Fuels</w:t>
      </w:r>
    </w:p>
    <w:p>
      <w:pPr>
        <w:pStyle w:val="Normal"/>
        <w:ind w:end="720"/>
        <w:rPr>
          <w:rFonts w:ascii="Arial" w:hAnsi="Arial" w:cs="Arial"/>
          <w:sz w:val="22"/>
        </w:rPr>
      </w:pPr>
      <w:r>
        <w:rPr>
          <w:rFonts w:cs="Arial" w:ascii="Arial" w:hAnsi="Arial"/>
          <w:sz w:val="22"/>
        </w:rPr>
      </w:r>
    </w:p>
    <w:p>
      <w:pPr>
        <w:pStyle w:val="Normal"/>
        <w:ind w:end="720"/>
        <w:rPr>
          <w:rFonts w:ascii="Arial" w:hAnsi="Arial" w:cs="Arial"/>
          <w:sz w:val="22"/>
        </w:rPr>
      </w:pPr>
      <w:r>
        <w:rPr>
          <w:rFonts w:cs="Arial" w:ascii="Arial" w:hAnsi="Arial"/>
          <w:sz w:val="22"/>
        </w:rPr>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termsheet1.doc</w:t>
    </w:r>
    <w:r>
      <w:rPr>
        <w:sz w:val="16"/>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tabs>
        <w:tab w:val="clear" w:pos="720"/>
        <w:tab w:val="left" w:pos="2880" w:leader="none"/>
      </w:tabs>
      <w:ind w:hanging="2880" w:start="2880" w:end="0"/>
      <w:outlineLvl w:val="3"/>
    </w:pPr>
    <w:rPr>
      <w:b/>
      <w:u w:val="single"/>
    </w:rPr>
  </w:style>
  <w:style w:type="paragraph" w:styleId="Heading5">
    <w:name w:val="heading 5"/>
    <w:basedOn w:val="Normal"/>
    <w:next w:val="Normal"/>
    <w:qFormat/>
    <w:pPr>
      <w:keepNext w:val="true"/>
      <w:numPr>
        <w:ilvl w:val="4"/>
        <w:numId w:val="1"/>
      </w:numPr>
      <w:tabs>
        <w:tab w:val="clear" w:pos="720"/>
        <w:tab w:val="left" w:pos="2880" w:leader="none"/>
      </w:tabs>
      <w:ind w:hanging="2880" w:start="2880" w:end="0"/>
      <w:jc w:val="both"/>
      <w:outlineLvl w:val="4"/>
    </w:pPr>
    <w:rPr>
      <w:b/>
      <w:u w:val="single"/>
    </w:rPr>
  </w:style>
  <w:style w:type="paragraph" w:styleId="Heading6">
    <w:name w:val="heading 6"/>
    <w:basedOn w:val="Normal"/>
    <w:next w:val="Normal"/>
    <w:qFormat/>
    <w:pPr>
      <w:keepNext w:val="true"/>
      <w:numPr>
        <w:ilvl w:val="5"/>
        <w:numId w:val="1"/>
      </w:numPr>
      <w:ind w:hanging="0" w:start="0" w:end="720"/>
      <w:outlineLvl w:val="5"/>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2000-12-21T13:23:00Z</dcterms:created>
  <dc:creator>David R. Keyes</dc:creator>
  <dc:description/>
  <dc:language>en-CA</dc:language>
  <cp:lastModifiedBy>gnemec</cp:lastModifiedBy>
  <cp:lastPrinted>2000-12-21T08:57:00Z</cp:lastPrinted>
  <dcterms:modified xsi:type="dcterms:W3CDTF">2000-12-21T14:14:00Z</dcterms:modified>
  <cp:revision>9</cp:revision>
  <dc:subject/>
  <dc:title>SUMMARY OF TERMS AND CONDITIONS</dc:title>
</cp:coreProperties>
</file>