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none"/>
        </w:rPr>
      </w:pPr>
      <w:r>
        <w:rPr>
          <w:u w:val="none"/>
        </w:rPr>
        <w:t>ENRON NORTH AMERICA CORP.</w:t>
      </w:r>
    </w:p>
    <w:p>
      <w:pPr>
        <w:pStyle w:val="Heading1"/>
        <w:ind w:hanging="0" w:start="0"/>
        <w:rPr/>
      </w:pPr>
      <w:r>
        <w:rPr/>
        <w:t>ADDITIONAL TERMS AND CONDITIONS</w:t>
      </w:r>
    </w:p>
    <w:p>
      <w:pPr>
        <w:pStyle w:val="Normal"/>
        <w:rPr/>
      </w:pPr>
      <w:r>
        <w:rPr/>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1.</w:t>
      </w:r>
      <w:r>
        <w:rPr>
          <w:rFonts w:cs="CG Times" w:ascii="CG Times" w:hAnsi="CG Times"/>
          <w:sz w:val="16"/>
        </w:rPr>
        <w:t xml:space="preserve">  </w:t>
      </w:r>
      <w:r>
        <w:rPr>
          <w:rFonts w:cs="CG Times" w:ascii="CG Times" w:hAnsi="CG Times"/>
          <w:b/>
          <w:sz w:val="16"/>
          <w:u w:val="single"/>
        </w:rPr>
        <w:t>PAYMENT</w:t>
      </w:r>
      <w:r>
        <w:rPr>
          <w:rFonts w:cs="CG Times" w:ascii="CG Times" w:hAnsi="CG Times"/>
          <w:sz w:val="16"/>
        </w:rPr>
        <w:t xml:space="preserve">.  The Price specified herein shall be paid in United States funds.  Overdue payments shall accrue interest from the due date at the rate of two percent over the prime lending rate as published from time to time in the </w:t>
      </w:r>
      <w:r>
        <w:rPr>
          <w:rFonts w:cs="CG Times" w:ascii="CG Times" w:hAnsi="CG Times"/>
          <w:i/>
          <w:sz w:val="16"/>
        </w:rPr>
        <w:t xml:space="preserve">Wall Street Journal </w:t>
      </w:r>
      <w:r>
        <w:rPr>
          <w:rFonts w:cs="CG Times" w:ascii="CG Times" w:hAnsi="CG Times"/>
          <w:sz w:val="16"/>
        </w:rPr>
        <w:t>(“Interest Rate”), but in no event to exceed the maximum lawful rate.</w:t>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 xml:space="preserve">2.  </w:t>
      </w:r>
      <w:r>
        <w:rPr>
          <w:rFonts w:cs="CG Times" w:ascii="CG Times" w:hAnsi="CG Times"/>
          <w:b/>
          <w:sz w:val="16"/>
          <w:u w:val="single"/>
        </w:rPr>
        <w:t>LIMITATION ON WARRANTY</w:t>
      </w:r>
      <w:r>
        <w:rPr>
          <w:rFonts w:cs="CG Times" w:ascii="CG Times" w:hAnsi="CG Times"/>
          <w:sz w:val="16"/>
        </w:rPr>
        <w:t>.  EXCEPT AS EXPRESSLY SET FORTH HEREIN, SELLER EXPRESSLY DISCLAIMS ANY OTHER REPRESENTATIONS OR WARRANTIES, WRITTEN OR ORAL, EXPRESS OR IMPLIED, INCLUDING, WITHOUT LIMITATION, ANY WARRANTY WITH RESPECT TO CONFORMITY TO SAMPLES, MERCHANTABILITY, OR FITNESS FOR ANY PARTICULAR PURPOSE.</w:t>
      </w:r>
    </w:p>
    <w:p>
      <w:pPr>
        <w:pStyle w:val="Normal"/>
        <w:numPr>
          <w:ilvl w:val="0"/>
          <w:numId w:val="3"/>
        </w:numPr>
        <w:tabs>
          <w:tab w:val="clear" w:pos="720"/>
          <w:tab w:val="left" w:pos="-720" w:leader="none"/>
          <w:tab w:val="left" w:pos="630" w:leader="none"/>
        </w:tabs>
        <w:suppressAutoHyphens w:val="true"/>
        <w:spacing w:lineRule="auto" w:line="185"/>
        <w:ind w:hanging="0" w:start="0" w:end="0"/>
        <w:jc w:val="both"/>
        <w:rPr>
          <w:rFonts w:ascii="Century Gothic;Lucida Sans Unicode" w:hAnsi="Century Gothic;Lucida Sans Unicode" w:cs="Century Gothic;Lucida Sans Unicode"/>
          <w:sz w:val="16"/>
        </w:rPr>
      </w:pPr>
      <w:r>
        <w:rPr>
          <w:rFonts w:cs="CG Times" w:ascii="CG Times" w:hAnsi="CG Times"/>
          <w:b/>
          <w:sz w:val="16"/>
          <w:u w:val="single"/>
        </w:rPr>
        <w:t>FORCE MAJEURE</w:t>
      </w:r>
      <w:r>
        <w:rPr>
          <w:rFonts w:cs="CG Times" w:ascii="CG Times" w:hAnsi="CG Times"/>
          <w:sz w:val="16"/>
        </w:rPr>
        <w:t xml:space="preserve">.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60 consecutive days, the party not claiming Force Majeure may, at its option, terminate this Agreement on 3 days prior written notice.  "Force Majeure"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substitute therefor; provided, however, in no event shall a Force Majeure be construed to relieve a party of any obligations under this Agreement solely because of increased costs or other adverse economic consequences that may be incurred by such party through performance of such obligations.  </w:t>
      </w:r>
    </w:p>
    <w:p>
      <w:pPr>
        <w:pStyle w:val="Normal"/>
        <w:numPr>
          <w:ilvl w:val="0"/>
          <w:numId w:val="3"/>
        </w:numPr>
        <w:tabs>
          <w:tab w:val="clear" w:pos="720"/>
          <w:tab w:val="left" w:pos="-720" w:leader="none"/>
        </w:tabs>
        <w:suppressAutoHyphens w:val="true"/>
        <w:spacing w:lineRule="auto" w:line="185"/>
        <w:jc w:val="both"/>
        <w:rPr>
          <w:rFonts w:ascii="CG Times" w:hAnsi="CG Times" w:cs="CG Times"/>
          <w:sz w:val="16"/>
        </w:rPr>
      </w:pPr>
      <w:r>
        <w:rPr>
          <w:rFonts w:cs="CG Times" w:ascii="CG Times" w:hAnsi="CG Times"/>
          <w:b/>
          <w:sz w:val="16"/>
          <w:u w:val="single"/>
        </w:rPr>
        <w:t>EVENTS OF DEFAULT AND REMEDIES</w:t>
      </w:r>
      <w:r>
        <w:rPr>
          <w:rFonts w:cs="CG Times" w:ascii="CG Times" w:hAnsi="CG Times"/>
          <w:sz w:val="16"/>
        </w:rPr>
        <w:t>.</w:t>
      </w:r>
    </w:p>
    <w:p>
      <w:pPr>
        <w:pStyle w:val="BodyTextIndent2"/>
        <w:numPr>
          <w:ilvl w:val="0"/>
          <w:numId w:val="2"/>
        </w:numPr>
        <w:tabs>
          <w:tab w:val="clear" w:pos="720"/>
          <w:tab w:val="left" w:pos="-720" w:leader="none"/>
        </w:tabs>
        <w:suppressAutoHyphens w:val="true"/>
        <w:spacing w:before="0" w:after="0"/>
        <w:ind w:firstLine="720" w:start="0" w:end="0"/>
        <w:rPr/>
      </w:pPr>
      <w:r>
        <w:rPr/>
        <w:t>Subject to the limitations set forth in the provisions of (b) - (d) of this Paragraph 4, in the event (“Event of Default”) of (i) the failure of either party to make when due, any payment required hereunder if such failure is not remedied within five working days after notice of such failure is given to the defaulting party by the other party, (ii) the failure of either party to comply with any or all of its other respective obligations in good faith as herein set forth and such non-compliance is not cured within five days after notice thereof to defaulting party, or (iii) either party (a) filing a petition in bankruptcy and such petition is not withdrawn or dismissed for 30 days after such filing; (b) having such a petition filed against it, and such petition is not withdrawn or dismissed within thirty (30) days after such filing; (c) becoming otherwise insolvent or unable to pay its debts as they become due, or (iv) the failure of a party’s guarantor  (such party being deemed to be the defaulting party) to perform any covenant set forth in its guaranty, or such guaranty shall expire or be terminated or shall cease to guarantee the obligations of such party hereunder, or such guarantor shall become subject to any of the events specified in (iii) (a), (b) or (c), the non-defaulting party may, for so long as such Event of Default is continuing, (A) establish by notice to the defaulting party a date on which this Agreement shall terminate early, and the non-defaulting party shall calculate, using the formula described in (b) or (c) below, as applicable, and otherwise in a commercially reasonable manner, its damages, including any associated costs, resulting from the early termination of this Agreement. Such damages and costs, if any, shall be paid by the defaulting party to the nondefaulting party within five working days of the defaulting party’s receipt of Notice of the damages amount,  and/or (B) suspend performance of  its obligations under this Agreement until such Event of Default is cured.  The failure of the parties to agree on a price adjustment shall not constitute grounds for rescission of termination of this Agreement.</w:t>
      </w:r>
    </w:p>
    <w:p>
      <w:pPr>
        <w:pStyle w:val="Normal"/>
        <w:numPr>
          <w:ilvl w:val="0"/>
          <w:numId w:val="5"/>
        </w:numPr>
        <w:tabs>
          <w:tab w:val="clear" w:pos="720"/>
          <w:tab w:val="left" w:pos="1080" w:leader="none"/>
        </w:tabs>
        <w:spacing w:lineRule="auto" w:line="185"/>
        <w:ind w:firstLine="720" w:start="0" w:end="0"/>
        <w:jc w:val="both"/>
        <w:rPr>
          <w:rFonts w:ascii="CG Times" w:hAnsi="CG Times" w:cs="CG Times"/>
          <w:sz w:val="16"/>
        </w:rPr>
      </w:pPr>
      <w:r>
        <w:rPr>
          <w:rFonts w:cs="CG Times" w:ascii="CG Times" w:hAnsi="CG Times"/>
          <w:sz w:val="16"/>
        </w:rPr>
        <w:t>Unless excused by Force Majeure or Buyer's failure to perform, if Seller fails to deliver all or part of the quantity of coal to be delivered hereunder,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relevant Delivery Point) or, absent such a purchase, the market price for such quantity of coal (F.O.B., Delivery Point) as determined by Buyer in a commercially reasonable manner.  It is expressly agreed that Buyer shall not be required to enter into a replacement transaction in order to determine the Replacement Price. Such payment shall be paid within 10 days after an invoice is received by the party obligated to make the payment.</w:t>
      </w:r>
    </w:p>
    <w:p>
      <w:pPr>
        <w:pStyle w:val="Normal"/>
        <w:numPr>
          <w:ilvl w:val="0"/>
          <w:numId w:val="4"/>
        </w:numPr>
        <w:tabs>
          <w:tab w:val="clear" w:pos="720"/>
          <w:tab w:val="left" w:pos="1080" w:leader="none"/>
        </w:tabs>
        <w:spacing w:lineRule="auto" w:line="185"/>
        <w:ind w:firstLine="720" w:start="0" w:end="0"/>
        <w:jc w:val="both"/>
        <w:rPr>
          <w:rFonts w:ascii="CG Times" w:hAnsi="CG Times" w:cs="CG Times"/>
          <w:sz w:val="16"/>
        </w:rPr>
      </w:pPr>
      <w:r>
        <w:rPr>
          <w:rFonts w:cs="CG Times" w:ascii="CG Times" w:hAnsi="CG Times"/>
          <w:sz w:val="16"/>
        </w:rPr>
        <w:t>Unless excused by Force Majeure or Seller's failure to perform, if Buyer fails to accept all or any part of the quantity of coal to be delivered hereunder,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relevant Delivery Point) or, absent such a sale, the market price for such quantity of coal (F.O.B., Delivery Point), as determined by Seller in a commercially reasonable manner.  It is expressly agreed that Seller shall not be required to enter into a replacement transaction in order to determine the Sales Price. Such payment shall be paid within 10 days after an invoice is received by the party obligated to make the payment.</w:t>
      </w:r>
    </w:p>
    <w:p>
      <w:pPr>
        <w:pStyle w:val="BodyTextIndent2"/>
        <w:tabs>
          <w:tab w:val="clear" w:pos="720"/>
          <w:tab w:val="left" w:pos="1080" w:leader="none"/>
        </w:tabs>
        <w:rPr/>
      </w:pPr>
      <w:r>
        <w:rPr/>
        <w:t>(d)</w:t>
        <w:tab/>
        <w:t>Each party hereby stipulates that the payment obligations set forth in (b) and (c) above are reasonable in light of the anticipated harm and the difficulty of estimation or calculation of actual damages and each party hereby waives the right to contest such payments as an unreasonable penalty or otherwise.  In the event that either Seller or Buyer fails to pay amounts under this Agreement when due, the aggrieved party shall have the right to:  (i) suspend performance under this Agreement until such amounts plus interest at the Interest Rate have been paid, and/or (ii) exercise any remedy available at law or in equity to enforce payment of such amount plus interest at the Interest Rate.  The remedy set forth in (b) and (c) of this Paragraph 4 shall be the sole and exclusive remedy of the aggrieved party for the failure of the other to deliver or accept, as the case may be, the quantity of coal specified herein prior to an early termination of this Agreement, and all other damages and remedies are hereby waived as to such failure(s), except as set forth in Paragraph 5 below.</w:t>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 xml:space="preserve">5.  </w:t>
      </w:r>
      <w:r>
        <w:rPr>
          <w:rFonts w:cs="CG Times" w:ascii="CG Times" w:hAnsi="CG Times"/>
          <w:b/>
          <w:sz w:val="16"/>
          <w:u w:val="single"/>
        </w:rPr>
        <w:t>LIMITATION ON LIABILITY</w:t>
      </w:r>
      <w:r>
        <w:rPr>
          <w:rFonts w:cs="CG Times" w:ascii="CG Times" w:hAnsi="CG Times"/>
          <w:sz w:val="16"/>
        </w:rPr>
        <w:t>.  No waiver of remedies or damages herein shall apply to claims of anticipatory repudiation or remedies therefor provided by law except that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lineRule="auto" w:line="185" w:before="0" w:after="60"/>
        <w:jc w:val="both"/>
        <w:rPr>
          <w:rFonts w:ascii="CG Times" w:hAnsi="CG Times" w:cs="CG Times"/>
          <w:b/>
          <w:sz w:val="16"/>
        </w:rPr>
      </w:pPr>
      <w:r>
        <w:rPr>
          <w:rFonts w:cs="CG Times" w:ascii="CG Times" w:hAnsi="CG Times"/>
          <w:b/>
          <w:sz w:val="16"/>
        </w:rPr>
        <w:t xml:space="preserve">6.  </w:t>
      </w:r>
      <w:r>
        <w:rPr>
          <w:rFonts w:cs="CG Times" w:ascii="CG Times" w:hAnsi="CG Times"/>
          <w:b/>
          <w:sz w:val="16"/>
          <w:u w:val="single"/>
        </w:rPr>
        <w:t>TITLE/RISK OF LOSS</w:t>
      </w:r>
      <w:r>
        <w:rPr>
          <w:rFonts w:cs="CG Times" w:ascii="CG Times" w:hAnsi="CG Times"/>
          <w:sz w:val="16"/>
        </w:rPr>
        <w:t>.  Seller warrants good title to all coal delivered hereunder, free and clear of all claims and encumbrances.  Title and risk of loss shall pass to Buyer upon delivery at the Delivery Point.</w:t>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 xml:space="preserve">7.  </w:t>
      </w:r>
      <w:r>
        <w:rPr>
          <w:rFonts w:cs="CG Times" w:ascii="CG Times" w:hAnsi="CG Times"/>
          <w:b/>
          <w:sz w:val="16"/>
          <w:u w:val="single"/>
        </w:rPr>
        <w:t>ASSIGNMENT</w:t>
      </w:r>
      <w:r>
        <w:rPr>
          <w:rFonts w:cs="CG Times" w:ascii="CG Times" w:hAnsi="CG Times"/>
          <w:sz w:val="16"/>
        </w:rPr>
        <w:t xml:space="preserve">.  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rFonts w:cs="CG Times" w:ascii="CG Times" w:hAnsi="CG Times"/>
          <w:i/>
          <w:sz w:val="16"/>
        </w:rPr>
        <w:t xml:space="preserve">provided, however, </w:t>
      </w:r>
      <w:r>
        <w:rPr>
          <w:rFonts w:cs="CG Times" w:ascii="CG Times" w:hAnsi="CG Times"/>
          <w:sz w:val="16"/>
        </w:rPr>
        <w:t>that in each such case any such assignee shall agree in writing to be bound by the terms and conditions hereof.  “Affiliate” means, with respect to any person, any other person (other than an individual) that directly or indirectly, through one or more intermediaries, controls or is controlled by, or is under common control with, such person.  For this purpose, “</w:t>
      </w:r>
      <w:r>
        <w:rPr>
          <w:rFonts w:cs="CG Times" w:ascii="CG Times" w:hAnsi="CG Times"/>
          <w:sz w:val="16"/>
          <w:u w:val="single"/>
        </w:rPr>
        <w:t>control</w:t>
      </w:r>
      <w:r>
        <w:rPr>
          <w:rFonts w:cs="CG Times" w:ascii="CG Times" w:hAnsi="CG Times"/>
          <w:sz w:val="16"/>
        </w:rPr>
        <w:t>” means the direct or indirect ownership of 50% or more of the outstanding capital stock or other equity interests having ordinary voting power.</w:t>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 xml:space="preserve">8.  </w:t>
      </w:r>
      <w:r>
        <w:rPr>
          <w:rFonts w:cs="CG Times" w:ascii="CG Times" w:hAnsi="CG Times"/>
          <w:b/>
          <w:sz w:val="16"/>
          <w:u w:val="single"/>
        </w:rPr>
        <w:t>ENTIRE AGREEMENT</w:t>
      </w:r>
      <w:r>
        <w:rPr>
          <w:rFonts w:cs="CG Times" w:ascii="CG Times" w:hAnsi="CG Times"/>
          <w:sz w:val="16"/>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 xml:space="preserve">9.  </w:t>
      </w:r>
      <w:r>
        <w:rPr>
          <w:rFonts w:cs="CG Times" w:ascii="CG Times" w:hAnsi="CG Times"/>
          <w:b/>
          <w:sz w:val="16"/>
          <w:u w:val="single"/>
        </w:rPr>
        <w:t>NO WAIVER</w:t>
      </w:r>
      <w:r>
        <w:rPr>
          <w:rFonts w:cs="CG Times" w:ascii="CG Times" w:hAnsi="CG Times"/>
          <w:sz w:val="16"/>
        </w:rPr>
        <w:t>.  Waiver of any breach of this Agreement shall not be construed as a waiver of any other breach.</w:t>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 xml:space="preserve">10.  </w:t>
      </w:r>
      <w:r>
        <w:rPr>
          <w:rFonts w:cs="CG Times" w:ascii="CG Times" w:hAnsi="CG Times"/>
          <w:b/>
          <w:sz w:val="16"/>
          <w:u w:val="single"/>
        </w:rPr>
        <w:t>GOVERNING LAW</w:t>
      </w:r>
      <w:r>
        <w:rPr>
          <w:rFonts w:cs="CG Times" w:ascii="CG Times" w:hAnsi="CG Times"/>
          <w:sz w:val="16"/>
        </w:rPr>
        <w:t xml:space="preserve">.  This Agreement shall be construed and governed by the laws of the State of Texas, including, without limitation, the Uniform Commercial Code, without giving effect to principles of conflicts of law. </w:t>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 xml:space="preserve">11.  </w:t>
      </w:r>
      <w:r>
        <w:rPr>
          <w:rFonts w:cs="CG Times" w:ascii="CG Times" w:hAnsi="CG Times"/>
          <w:b/>
          <w:sz w:val="16"/>
          <w:u w:val="single"/>
        </w:rPr>
        <w:t>CONFIDENTIALITY</w:t>
      </w:r>
      <w:r>
        <w:rPr>
          <w:rFonts w:cs="CG Times" w:ascii="CG Times" w:hAnsi="CG Times"/>
          <w:sz w:val="16"/>
        </w:rPr>
        <w:t>.  Each party acknowledges that this Agreement contains confidential information that would put them at a competitive disadvantage if disclosed to the public.  Therefore, the terms of this Agreement shall be kept confidential by the parties, except to the extent disclosure may be required by law, regulation or judicial or administrative order.</w:t>
      </w:r>
    </w:p>
    <w:p>
      <w:pPr>
        <w:pStyle w:val="Normal"/>
        <w:tabs>
          <w:tab w:val="clear" w:pos="720"/>
          <w:tab w:val="left" w:pos="-720" w:leader="none"/>
        </w:tabs>
        <w:suppressAutoHyphens w:val="true"/>
        <w:spacing w:lineRule="auto" w:line="185" w:before="0" w:after="60"/>
        <w:jc w:val="both"/>
        <w:rPr/>
      </w:pPr>
      <w:r>
        <w:rPr>
          <w:rFonts w:cs="CG Times" w:ascii="CG Times" w:hAnsi="CG Times"/>
          <w:b/>
          <w:sz w:val="16"/>
        </w:rPr>
        <w:t xml:space="preserve">12.  </w:t>
      </w:r>
      <w:r>
        <w:rPr>
          <w:rFonts w:cs="CG Times" w:ascii="CG Times" w:hAnsi="CG Times"/>
          <w:b/>
          <w:sz w:val="16"/>
          <w:u w:val="single"/>
        </w:rPr>
        <w:t>SETOFF</w:t>
      </w:r>
      <w:r>
        <w:rPr>
          <w:rFonts w:cs="CG Times" w:ascii="CG Times" w:hAnsi="CG Times"/>
          <w:sz w:val="16"/>
        </w:rPr>
        <w:t>.  Each party reserves all rights of setoff which such party has or may be entitled to arising from or out of this Agreement.</w:t>
      </w:r>
    </w:p>
    <w:p>
      <w:pPr>
        <w:pStyle w:val="Normal"/>
        <w:tabs>
          <w:tab w:val="clear" w:pos="720"/>
          <w:tab w:val="left" w:pos="-720" w:leader="none"/>
        </w:tabs>
        <w:suppressAutoHyphens w:val="true"/>
        <w:spacing w:lineRule="auto" w:line="185"/>
        <w:jc w:val="both"/>
        <w:rPr/>
      </w:pPr>
      <w:r>
        <w:rPr>
          <w:rFonts w:cs="CG Times" w:ascii="CG Times" w:hAnsi="CG Times"/>
          <w:b/>
          <w:sz w:val="16"/>
        </w:rPr>
        <w:t xml:space="preserve">13.  </w:t>
      </w:r>
      <w:r>
        <w:rPr>
          <w:rFonts w:cs="CG Times" w:ascii="CG Times" w:hAnsi="CG Times"/>
          <w:b/>
          <w:sz w:val="16"/>
          <w:u w:val="single"/>
        </w:rPr>
        <w:t>NOTICES</w:t>
      </w:r>
      <w:r>
        <w:rPr>
          <w:rFonts w:cs="CG Times" w:ascii="CG Times" w:hAnsi="CG Times"/>
          <w:sz w:val="16"/>
        </w:rPr>
        <w:t>.  Notices under this Agreement shall be in writing and shall be effective when received at the address shown on the first page of this Agreement.</w:t>
      </w:r>
    </w:p>
    <w:sectPr>
      <w:headerReference w:type="default" r:id="rId2"/>
      <w:headerReference w:type="first" r:id="rId3"/>
      <w:type w:val="nextPage"/>
      <w:pgSz w:w="12240" w:h="15840"/>
      <w:pgMar w:left="1152" w:right="1152" w:gutter="0" w:header="720" w:top="77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WN)">
    <w:charset w:val="00" w:characterSet="windows-1252"/>
    <w:family w:val="roman"/>
    <w:pitch w:val="variable"/>
  </w:font>
  <w:font w:name="Century Schoolbook">
    <w:charset w:val="00" w:characterSet="windows-1252"/>
    <w:family w:val="roman"/>
    <w:pitch w:val="variable"/>
  </w:font>
  <w:font w:name="Tahoma">
    <w:charset w:val="00" w:characterSet="windows-1252"/>
    <w:family w:val="swiss"/>
    <w:pitch w:val="variable"/>
  </w:font>
  <w:font w:name="Century Gothic">
    <w:altName w:val="Lucida Sans Unicode"/>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rPr>
    </w:pPr>
    <w:r>
      <w:rPr>
        <w:sz w:val="16"/>
      </w:rPr>
      <w:fldChar w:fldCharType="begin"/>
    </w:r>
    <w:r>
      <w:rPr>
        <w:sz w:val="16"/>
      </w:rPr>
      <w:instrText xml:space="preserve"> SUBJECT </w:instrText>
    </w:r>
    <w:r>
      <w:rPr>
        <w:sz w:val="16"/>
      </w:rPr>
      <w:fldChar w:fldCharType="separate"/>
    </w:r>
    <w:r>
      <w:rPr>
        <w:sz w:val="16"/>
      </w:rPr>
      <w:t>Arizona Public Service Company</w:t>
    </w:r>
    <w:r>
      <w:rPr>
        <w:sz w:val="16"/>
      </w:rPr>
      <w:fldChar w:fldCharType="end"/>
    </w:r>
  </w:p>
  <w:p>
    <w:pPr>
      <w:pStyle w:val="Header"/>
      <w:jc w:val="end"/>
      <w:rPr>
        <w:sz w:val="16"/>
      </w:rPr>
    </w:pPr>
    <w:r>
      <w:rPr>
        <w:sz w:val="16"/>
      </w:rPr>
      <w:t>ECT #:</w:t>
    </w:r>
    <w:r>
      <w:rPr>
        <w:sz w:val="16"/>
      </w:rPr>
      <w:fldChar w:fldCharType="begin"/>
    </w:r>
    <w:r>
      <w:rPr>
        <w:sz w:val="16"/>
      </w:rPr>
      <w:instrText xml:space="preserve"> TITLE </w:instrText>
    </w:r>
    <w:r>
      <w:rPr>
        <w:sz w:val="16"/>
      </w:rPr>
      <w:fldChar w:fldCharType="separate"/>
    </w:r>
    <w:r>
      <w:rPr>
        <w:sz w:val="16"/>
      </w:rPr>
      <w:t>EV0425.1</w:t>
    </w:r>
    <w:r>
      <w:rPr>
        <w:sz w:val="16"/>
      </w:rPr>
      <w:fldChar w:fldCharType="end"/>
    </w:r>
  </w:p>
  <w:p>
    <w:pPr>
      <w:pStyle w:val="Header"/>
      <w:jc w:val="end"/>
      <w:rPr/>
    </w:pPr>
    <w:r>
      <w:rPr>
        <w:sz w:val="16"/>
      </w:rPr>
      <w:t>Page</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3">
    <w:lvl w:ilvl="0">
      <w:start w:val="3"/>
      <w:numFmt w:val="decimal"/>
      <w:lvlText w:val="%1. "/>
      <w:lvlJc w:val="start"/>
      <w:pPr>
        <w:tabs>
          <w:tab w:val="num" w:pos="360"/>
        </w:tabs>
        <w:ind w:start="360" w:hanging="360"/>
      </w:pPr>
      <w:rPr>
        <w:sz w:val="16"/>
        <w:i w:val="false"/>
        <w:u w:val="none"/>
        <w:b/>
        <w:rFonts w:ascii="CG Times" w:hAnsi="CG Times" w:cs="CG Times"/>
      </w:rPr>
    </w:lvl>
  </w:abstractNum>
  <w:abstractNum w:abstractNumId="4">
    <w:lvl w:ilvl="0">
      <w:start w:val="3"/>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5">
    <w:lvl w:ilvl="0">
      <w:start w:val="2"/>
      <w:numFmt w:val="lowerLetter"/>
      <w:lvlText w:val="(%1) "/>
      <w:lvlJc w:val="start"/>
      <w:pPr>
        <w:tabs>
          <w:tab w:val="num" w:pos="360"/>
        </w:tabs>
        <w:ind w:start="1080" w:hanging="360"/>
      </w:pPr>
      <w:rPr>
        <w:sz w:val="16"/>
        <w:i w:val="false"/>
        <w:u w:val="none"/>
        <w:b w:val="false"/>
        <w:rFonts w:ascii="CG Times" w:hAnsi="CG Times" w:cs="CG Time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 w:hAnsi="CG Times" w:cs="CG Times"/>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tabs>
        <w:tab w:val="clear" w:pos="720"/>
        <w:tab w:val="left" w:pos="972" w:leader="none"/>
        <w:tab w:val="left" w:pos="2772" w:leader="none"/>
        <w:tab w:val="left" w:pos="4392" w:leader="none"/>
      </w:tabs>
      <w:ind w:hanging="1890" w:start="2772" w:end="0"/>
      <w:jc w:val="both"/>
      <w:outlineLvl w:val="4"/>
    </w:pPr>
    <w:rPr>
      <w:i/>
      <w:sz w:val="20"/>
    </w:rPr>
  </w:style>
  <w:style w:type="paragraph" w:styleId="Heading6">
    <w:name w:val="heading 6"/>
    <w:basedOn w:val="Normal"/>
    <w:next w:val="Normal"/>
    <w:qFormat/>
    <w:pPr>
      <w:keepNext w:val="true"/>
      <w:numPr>
        <w:ilvl w:val="5"/>
        <w:numId w:val="1"/>
      </w:numPr>
      <w:outlineLvl w:val="5"/>
    </w:pPr>
    <w:rPr>
      <w:rFonts w:ascii="Arial" w:hAnsi="Arial" w:cs="Arial"/>
      <w:b/>
      <w:sz w:val="19"/>
    </w:rPr>
  </w:style>
  <w:style w:type="character" w:styleId="WW8Num2z0">
    <w:name w:val="WW8Num2z0"/>
    <w:qFormat/>
    <w:rPr>
      <w:rFonts w:ascii="CG Times" w:hAnsi="CG Times" w:cs="CG Times"/>
      <w:b w:val="false"/>
      <w:i w:val="false"/>
      <w:sz w:val="16"/>
      <w:u w:val="none"/>
    </w:rPr>
  </w:style>
  <w:style w:type="character" w:styleId="WW8Num3z0">
    <w:name w:val="WW8Num3z0"/>
    <w:qFormat/>
    <w:rPr>
      <w:rFonts w:ascii="Century Schoolbook" w:hAnsi="Century Schoolbook" w:cs="Century Schoolbook"/>
      <w:b/>
      <w:i w:val="false"/>
      <w:sz w:val="17"/>
    </w:rPr>
  </w:style>
  <w:style w:type="character" w:styleId="WW8Num4z0">
    <w:name w:val="WW8Num4z0"/>
    <w:qFormat/>
    <w:rPr/>
  </w:style>
  <w:style w:type="character" w:styleId="WW8Num6z0">
    <w:name w:val="WW8Num6z0"/>
    <w:qFormat/>
    <w:rPr>
      <w:rFonts w:ascii="CG Times" w:hAnsi="CG Times" w:cs="CG Times"/>
      <w:b/>
      <w:i w:val="false"/>
      <w:sz w:val="16"/>
      <w:u w:val="none"/>
    </w:rPr>
  </w:style>
  <w:style w:type="character" w:styleId="WW8Num7z0">
    <w:name w:val="WW8Num7z0"/>
    <w:qFormat/>
    <w:rPr>
      <w:rFonts w:ascii="CG Times" w:hAnsi="CG Times" w:cs="CG Times"/>
      <w:b w:val="false"/>
      <w:i w:val="false"/>
      <w:sz w:val="16"/>
      <w:u w:val="none"/>
    </w:rPr>
  </w:style>
  <w:style w:type="character" w:styleId="WW8Num10z0">
    <w:name w:val="WW8Num10z0"/>
    <w:qFormat/>
    <w:rPr>
      <w:rFonts w:ascii="CG Times" w:hAnsi="CG Times" w:cs="CG Times"/>
      <w:b w:val="false"/>
      <w:i w:val="false"/>
      <w:sz w:val="16"/>
      <w:u w:val="none"/>
    </w:rPr>
  </w:style>
  <w:style w:type="character" w:styleId="WW8Num11z0">
    <w:name w:val="WW8Num11z0"/>
    <w:qFormat/>
    <w:rPr/>
  </w:style>
  <w:style w:type="character" w:styleId="WW8NumSt8z0">
    <w:name w:val="WW8NumSt8z0"/>
    <w:qFormat/>
    <w:rPr>
      <w:rFonts w:ascii="CG Times" w:hAnsi="CG Times" w:cs="CG Times"/>
      <w:b/>
      <w:i w:val="false"/>
      <w:sz w:val="16"/>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17"/>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 w:hAnsi="Arial" w:cs="Arial"/>
      <w:b/>
      <w:sz w:val="17"/>
      <w:lang w:eastAsia="en-US"/>
    </w:rPr>
  </w:style>
  <w:style w:type="paragraph" w:styleId="BodyText2">
    <w:name w:val="Body Text 2"/>
    <w:basedOn w:val="Normal"/>
    <w:qFormat/>
    <w:pPr>
      <w:ind w:hanging="0" w:start="0" w:end="1872"/>
      <w:jc w:val="both"/>
    </w:pPr>
    <w:rPr>
      <w:rFonts w:ascii="Arial" w:hAnsi="Arial" w:cs="Arial"/>
      <w:sz w:val="17"/>
    </w:rPr>
  </w:style>
  <w:style w:type="paragraph" w:styleId="BodyTextIndent2">
    <w:name w:val="Body Text Indent 2"/>
    <w:basedOn w:val="Normal"/>
    <w:qFormat/>
    <w:pPr>
      <w:spacing w:lineRule="auto" w:line="185" w:before="0" w:after="60"/>
      <w:ind w:firstLine="720" w:start="0" w:end="0"/>
      <w:jc w:val="both"/>
    </w:pPr>
    <w:rPr>
      <w:rFonts w:ascii="CG Times" w:hAnsi="CG Times" w:cs="CG Times"/>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2000-06-27T20:23:00Z</dcterms:created>
  <dc:creator>ECT</dc:creator>
  <dc:description/>
  <dc:language>en-CA</dc:language>
  <cp:lastModifiedBy>vcurry</cp:lastModifiedBy>
  <cp:lastPrinted>2000-12-11T11:37:00Z</cp:lastPrinted>
  <dcterms:modified xsi:type="dcterms:W3CDTF">2000-12-11T15:07:00Z</dcterms:modified>
  <cp:revision>5</cp:revision>
  <dc:subject>Arizona Public Service Company</dc:subject>
  <dc:title>EV0425.1</dc:title>
</cp:coreProperties>
</file>