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highlight w:val="yellow"/>
        </w:rPr>
      </w:pPr>
      <w:r>
        <w:rPr>
          <w:highlight w:val="yellow"/>
        </w:rPr>
        <w:t>OPEN – how does logistics receive the info on a timely basis</w:t>
      </w:r>
    </w:p>
    <w:p>
      <w:pPr>
        <w:pStyle w:val="Normal"/>
        <w:rPr/>
      </w:pPr>
      <w:r>
        <w:rPr/>
      </w:r>
    </w:p>
    <w:p>
      <w:pPr>
        <w:pStyle w:val="Heading1"/>
        <w:ind w:hanging="0" w:start="0"/>
        <w:rPr/>
      </w:pPr>
      <w:r>
        <w:rPr/>
        <w:t>General</w:t>
      </w:r>
    </w:p>
    <w:p>
      <w:pPr>
        <w:pStyle w:val="Normal"/>
        <w:rPr/>
      </w:pPr>
      <w:r>
        <w:rPr/>
        <w:t>There are two types of terminations: pre-bankruptcy filing and post-bankruptcy filing.  This document maps the process flow for the terminations requested by counterparties entered into post-bankruptcy filing.</w:t>
      </w:r>
    </w:p>
    <w:p>
      <w:pPr>
        <w:pStyle w:val="Normal"/>
        <w:rPr>
          <w:u w:val="single"/>
        </w:rPr>
      </w:pPr>
      <w:r>
        <w:rPr>
          <w:u w:val="single"/>
        </w:rPr>
      </w:r>
    </w:p>
    <w:p>
      <w:pPr>
        <w:pStyle w:val="Normal"/>
        <w:rPr/>
      </w:pPr>
      <w:r>
        <w:rPr>
          <w:b/>
          <w:bCs/>
          <w:u w:val="single"/>
        </w:rPr>
        <w:t>Step 1 – receiving the termination request from the counterparty - Documentation:</w:t>
      </w:r>
      <w:r>
        <w:rPr>
          <w:b/>
          <w:bCs/>
        </w:rPr>
        <w:t xml:space="preserve"> </w:t>
      </w:r>
    </w:p>
    <w:p>
      <w:pPr>
        <w:pStyle w:val="Normal"/>
        <w:numPr>
          <w:ilvl w:val="0"/>
          <w:numId w:val="4"/>
        </w:numPr>
        <w:rPr/>
      </w:pPr>
      <w:r>
        <w:rPr/>
        <w:t xml:space="preserve">The majority of the termination letters have been faxed from the counterparty to the documentation departments.  These departments hand carry the letters/faxes to the legal department.  The legal department has a complete set of letters from all departments. </w:t>
      </w:r>
      <w:r>
        <w:rPr>
          <w:highlight w:val="yellow"/>
        </w:rPr>
        <w:t>(note to discuss with kim – some of her depts. Are not keeping copies – should they?)</w:t>
      </w:r>
    </w:p>
    <w:p>
      <w:pPr>
        <w:pStyle w:val="Normal"/>
        <w:numPr>
          <w:ilvl w:val="0"/>
          <w:numId w:val="4"/>
        </w:numPr>
        <w:rPr/>
      </w:pPr>
      <w:r>
        <w:rPr/>
        <w:t xml:space="preserve">In order to properly terminate a deal, legal requires a copy of the contract.  The documentation department is responsible for supplying contracts (currently warehoused in Livelink) at the request of legal.  </w:t>
      </w:r>
    </w:p>
    <w:p>
      <w:pPr>
        <w:pStyle w:val="Normal"/>
        <w:rPr/>
      </w:pPr>
      <w:r>
        <w:rPr/>
      </w:r>
    </w:p>
    <w:p>
      <w:pPr>
        <w:pStyle w:val="Normal"/>
        <w:rPr>
          <w:b/>
          <w:bCs/>
          <w:u w:val="single"/>
        </w:rPr>
      </w:pPr>
      <w:r>
        <w:rPr>
          <w:b/>
          <w:bCs/>
          <w:u w:val="single"/>
        </w:rPr>
        <w:t>Step 2 – terminating a contract - Legal</w:t>
      </w:r>
    </w:p>
    <w:p>
      <w:pPr>
        <w:pStyle w:val="Normal"/>
        <w:rPr/>
      </w:pPr>
      <w:r>
        <w:rPr/>
        <w:t>The legal department is responsible for entering into all terminations.  Susan Bailey (713 853 4737) is the key legal contact. Additionally, Steve Vanheuser is responsible for EIM. Cynthia Harkness is responsible for EBS.</w:t>
      </w:r>
    </w:p>
    <w:p>
      <w:pPr>
        <w:pStyle w:val="Header"/>
        <w:tabs>
          <w:tab w:val="clear" w:pos="4320"/>
          <w:tab w:val="clear" w:pos="8640"/>
        </w:tabs>
        <w:rPr/>
      </w:pPr>
      <w:r>
        <w:rPr/>
      </w:r>
    </w:p>
    <w:p>
      <w:pPr>
        <w:pStyle w:val="Normal"/>
        <w:rPr/>
      </w:pPr>
      <w:r>
        <w:rPr/>
        <w:t>Sue keeps a spreadsheet entitled “Letter Log” (sample copy attached) with the following information:</w:t>
      </w:r>
    </w:p>
    <w:p>
      <w:pPr>
        <w:pStyle w:val="Normal"/>
        <w:rPr/>
      </w:pPr>
      <w:r>
        <w:rPr/>
      </w:r>
    </w:p>
    <w:tbl>
      <w:tblPr>
        <w:tblW w:w="7848" w:type="dxa"/>
        <w:jc w:val="start"/>
        <w:tblInd w:w="0" w:type="dxa"/>
        <w:tblLayout w:type="fixed"/>
        <w:tblCellMar>
          <w:top w:w="0" w:type="dxa"/>
          <w:start w:w="108" w:type="dxa"/>
          <w:bottom w:w="0" w:type="dxa"/>
          <w:end w:w="108" w:type="dxa"/>
        </w:tblCellMar>
      </w:tblPr>
      <w:tblGrid>
        <w:gridCol w:w="1908"/>
        <w:gridCol w:w="5940"/>
      </w:tblGrid>
      <w:tr>
        <w:trPr/>
        <w:tc>
          <w:tcPr>
            <w:tcW w:w="1908" w:type="dxa"/>
            <w:tcBorders>
              <w:top w:val="single" w:sz="4" w:space="0" w:color="000000"/>
              <w:start w:val="single" w:sz="4" w:space="0" w:color="000000"/>
              <w:bottom w:val="single" w:sz="4" w:space="0" w:color="000000"/>
              <w:end w:val="single" w:sz="4" w:space="0" w:color="000000"/>
            </w:tcBorders>
            <w:shd w:fill="E6E6E6" w:val="clear"/>
          </w:tcPr>
          <w:p>
            <w:pPr>
              <w:pStyle w:val="Normal"/>
              <w:rPr>
                <w:b/>
                <w:bCs/>
                <w:u w:val="single"/>
              </w:rPr>
            </w:pPr>
            <w:r>
              <w:rPr>
                <w:b/>
                <w:bCs/>
                <w:u w:val="single"/>
              </w:rPr>
              <w:t>Tab</w:t>
            </w:r>
          </w:p>
        </w:tc>
        <w:tc>
          <w:tcPr>
            <w:tcW w:w="5940" w:type="dxa"/>
            <w:tcBorders>
              <w:top w:val="single" w:sz="4" w:space="0" w:color="000000"/>
              <w:start w:val="single" w:sz="4" w:space="0" w:color="000000"/>
              <w:bottom w:val="single" w:sz="4" w:space="0" w:color="000000"/>
              <w:end w:val="single" w:sz="4" w:space="0" w:color="000000"/>
            </w:tcBorders>
            <w:shd w:fill="E6E6E6" w:val="clear"/>
          </w:tcPr>
          <w:p>
            <w:pPr>
              <w:pStyle w:val="Normal"/>
              <w:rPr>
                <w:b/>
                <w:bCs/>
                <w:u w:val="single"/>
              </w:rPr>
            </w:pPr>
            <w:r>
              <w:rPr>
                <w:b/>
                <w:bCs/>
                <w:u w:val="single"/>
              </w:rPr>
              <w:t>Description</w:t>
            </w:r>
          </w:p>
        </w:tc>
      </w:tr>
      <w:tr>
        <w:trPr/>
        <w:tc>
          <w:tcPr>
            <w:tcW w:w="190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Letter Log</w:t>
            </w:r>
          </w:p>
        </w:tc>
        <w:tc>
          <w:tcPr>
            <w:tcW w:w="5940" w:type="dxa"/>
            <w:tcBorders>
              <w:top w:val="single" w:sz="4" w:space="0" w:color="000000"/>
              <w:start w:val="single" w:sz="4" w:space="0" w:color="000000"/>
              <w:bottom w:val="single" w:sz="4" w:space="0" w:color="000000"/>
              <w:end w:val="single" w:sz="4" w:space="0" w:color="000000"/>
            </w:tcBorders>
          </w:tcPr>
          <w:p>
            <w:pPr>
              <w:pStyle w:val="Normal"/>
              <w:rPr/>
            </w:pPr>
            <w:r>
              <w:rPr/>
              <w:t>A log of letters incoming and outgoing requesting credit information from Enron.</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pPr>
            <w:r>
              <w:rPr/>
              <w:t>Margin Letters</w:t>
            </w:r>
          </w:p>
        </w:tc>
        <w:tc>
          <w:tcPr>
            <w:tcW w:w="5940" w:type="dxa"/>
            <w:tcBorders>
              <w:top w:val="single" w:sz="4" w:space="0" w:color="000000"/>
              <w:start w:val="single" w:sz="4" w:space="0" w:color="000000"/>
              <w:bottom w:val="single" w:sz="4" w:space="0" w:color="000000"/>
              <w:end w:val="single" w:sz="4" w:space="0" w:color="000000"/>
            </w:tcBorders>
          </w:tcPr>
          <w:p>
            <w:pPr>
              <w:pStyle w:val="Normal"/>
              <w:rPr/>
            </w:pPr>
            <w:r>
              <w:rPr/>
              <w:t>Margin owed to Enron or owed by Enron??</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pPr>
            <w:r>
              <w:rPr/>
              <w:t>Adequate Assurances</w:t>
            </w:r>
          </w:p>
        </w:tc>
        <w:tc>
          <w:tcPr>
            <w:tcW w:w="5940" w:type="dxa"/>
            <w:tcBorders>
              <w:top w:val="single" w:sz="4" w:space="0" w:color="000000"/>
              <w:start w:val="single" w:sz="4" w:space="0" w:color="000000"/>
              <w:bottom w:val="single" w:sz="4" w:space="0" w:color="000000"/>
              <w:end w:val="single" w:sz="4" w:space="0" w:color="000000"/>
            </w:tcBorders>
          </w:tcPr>
          <w:p>
            <w:pPr>
              <w:pStyle w:val="Normal"/>
              <w:rPr/>
            </w:pPr>
            <w:r>
              <w:rPr/>
              <w:t>Not used yet</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pPr>
            <w:r>
              <w:rPr/>
              <w:t>Default</w:t>
            </w:r>
          </w:p>
        </w:tc>
        <w:tc>
          <w:tcPr>
            <w:tcW w:w="5940" w:type="dxa"/>
            <w:tcBorders>
              <w:top w:val="single" w:sz="4" w:space="0" w:color="000000"/>
              <w:start w:val="single" w:sz="4" w:space="0" w:color="000000"/>
              <w:bottom w:val="single" w:sz="4" w:space="0" w:color="000000"/>
              <w:end w:val="single" w:sz="4" w:space="0" w:color="000000"/>
            </w:tcBorders>
          </w:tcPr>
          <w:p>
            <w:pPr>
              <w:pStyle w:val="Normal"/>
              <w:rPr/>
            </w:pPr>
            <w:r>
              <w:rPr/>
              <w:t>Not used yet</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pPr>
            <w:r>
              <w:rPr/>
              <w:t>Performance suspension</w:t>
            </w:r>
          </w:p>
        </w:tc>
        <w:tc>
          <w:tcPr>
            <w:tcW w:w="5940" w:type="dxa"/>
            <w:tcBorders>
              <w:top w:val="single" w:sz="4" w:space="0" w:color="000000"/>
              <w:start w:val="single" w:sz="4" w:space="0" w:color="000000"/>
              <w:bottom w:val="single" w:sz="4" w:space="0" w:color="000000"/>
              <w:end w:val="single" w:sz="4" w:space="0" w:color="000000"/>
            </w:tcBorders>
          </w:tcPr>
          <w:p>
            <w:pPr>
              <w:pStyle w:val="Normal"/>
              <w:rPr/>
            </w:pPr>
            <w:r>
              <w:rPr/>
              <w:t>Not used yet</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pPr>
            <w:r>
              <w:rPr/>
              <w:t>Other</w:t>
            </w:r>
          </w:p>
        </w:tc>
        <w:tc>
          <w:tcPr>
            <w:tcW w:w="5940" w:type="dxa"/>
            <w:tcBorders>
              <w:top w:val="single" w:sz="4" w:space="0" w:color="000000"/>
              <w:start w:val="single" w:sz="4" w:space="0" w:color="000000"/>
              <w:bottom w:val="single" w:sz="4" w:space="0" w:color="000000"/>
              <w:end w:val="single" w:sz="4" w:space="0" w:color="000000"/>
            </w:tcBorders>
          </w:tcPr>
          <w:p>
            <w:pPr>
              <w:pStyle w:val="Normal"/>
              <w:rPr/>
            </w:pPr>
            <w:r>
              <w:rPr/>
              <w:t>Not used yet</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Termination</w:t>
            </w:r>
          </w:p>
        </w:tc>
        <w:tc>
          <w:tcPr>
            <w:tcW w:w="5940"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This section lists the counterparty, contract type, Enron entity who had entered into the contract, the amount of the contract, date of termination, margin posted to or by Enron, whether the legal department agrees with the termination, and any related comments</w:t>
            </w:r>
          </w:p>
        </w:tc>
      </w:tr>
    </w:tbl>
    <w:p>
      <w:pPr>
        <w:pStyle w:val="Normal"/>
        <w:rPr/>
      </w:pPr>
      <w:r>
        <w:rPr/>
      </w:r>
    </w:p>
    <w:p>
      <w:pPr>
        <w:pStyle w:val="Normal"/>
        <w:rPr/>
      </w:pPr>
      <w:r>
        <w:rPr/>
      </w:r>
    </w:p>
    <w:p>
      <w:pPr>
        <w:pStyle w:val="Normal"/>
        <w:rPr>
          <w:b/>
          <w:bCs/>
          <w:u w:val="single"/>
        </w:rPr>
      </w:pPr>
      <w:r>
        <w:rPr>
          <w:b/>
          <w:bCs/>
          <w:u w:val="single"/>
        </w:rPr>
        <w:t>Step 3 – terminating a contract - Documentation</w:t>
      </w:r>
    </w:p>
    <w:p>
      <w:pPr>
        <w:pStyle w:val="Header"/>
        <w:tabs>
          <w:tab w:val="clear" w:pos="4320"/>
          <w:tab w:val="clear" w:pos="8640"/>
        </w:tabs>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fillcolor="white" stroked="t" o:allowincell="f" style="position:absolute;margin-left:168pt;margin-top:33.35pt;width:114.7pt;height:61.45pt;mso-wrap-style:none;v-text-anchor:middle" type="_x0000_t136">
            <v:path textpathok="t"/>
            <v:textpath on="t" fitshape="t" string="draft" style="font-family:&quot;Arial Black&quot;;font-size:44pt;font-style:italic" trim="t"/>
            <v:fill o:detectmouseclick="t" type="solid" color2="black"/>
            <v:stroke color="black" weight="9360" joinstyle="miter" endcap="flat"/>
            <v:shadow on="t" obscured="f" color="gray"/>
            <w10:wrap type="none"/>
          </v:shape>
        </w:pict>
      </w:r>
      <w:r>
        <w:rPr/>
        <w:t>Once at day, Kim Theriot (ENA documentation) receives the letter log from the legal department and passes it to:</w:t>
      </w:r>
    </w:p>
    <w:p>
      <w:pPr>
        <w:pStyle w:val="Header"/>
        <w:numPr>
          <w:ilvl w:val="0"/>
          <w:numId w:val="5"/>
        </w:numPr>
        <w:tabs>
          <w:tab w:val="clear" w:pos="4320"/>
          <w:tab w:val="clear" w:pos="8640"/>
        </w:tabs>
        <w:rPr/>
      </w:pPr>
      <w:r>
        <w:rPr/>
        <w:t>the power documentation group (Melissa Murphy)</w:t>
      </w:r>
    </w:p>
    <w:p>
      <w:pPr>
        <w:pStyle w:val="Header"/>
        <w:numPr>
          <w:ilvl w:val="0"/>
          <w:numId w:val="5"/>
        </w:numPr>
        <w:tabs>
          <w:tab w:val="clear" w:pos="4320"/>
          <w:tab w:val="clear" w:pos="8640"/>
        </w:tabs>
        <w:rPr/>
      </w:pPr>
      <w:r>
        <w:rPr/>
        <w:t>the financial gas documentation group (Diane Andersen)</w:t>
      </w:r>
    </w:p>
    <w:p>
      <w:pPr>
        <w:pStyle w:val="Header"/>
        <w:numPr>
          <w:ilvl w:val="0"/>
          <w:numId w:val="5"/>
        </w:numPr>
        <w:tabs>
          <w:tab w:val="clear" w:pos="4320"/>
          <w:tab w:val="clear" w:pos="8640"/>
        </w:tabs>
        <w:rPr/>
      </w:pPr>
      <w:r>
        <w:rPr/>
        <w:t>the physical gas documentation group (Ellen Morenward)</w:t>
      </w:r>
    </w:p>
    <w:p>
      <w:pPr>
        <w:pStyle w:val="Header"/>
        <w:numPr>
          <w:ilvl w:val="0"/>
          <w:numId w:val="5"/>
        </w:numPr>
        <w:tabs>
          <w:tab w:val="clear" w:pos="4320"/>
          <w:tab w:val="clear" w:pos="8640"/>
        </w:tabs>
        <w:rPr>
          <w:highlight w:val="yellow"/>
        </w:rPr>
      </w:pPr>
      <w:r>
        <w:rPr>
          <w:highlight w:val="yellow"/>
        </w:rPr>
        <w:t>the ____ group, (Stacey Richardson)</w:t>
      </w:r>
    </w:p>
    <w:p>
      <w:pPr>
        <w:pStyle w:val="Header"/>
        <w:numPr>
          <w:ilvl w:val="0"/>
          <w:numId w:val="5"/>
        </w:numPr>
        <w:tabs>
          <w:tab w:val="clear" w:pos="4320"/>
          <w:tab w:val="clear" w:pos="8640"/>
        </w:tabs>
        <w:rPr/>
      </w:pPr>
      <w:r>
        <w:rPr/>
        <w:t>EBS (Al Miralles)</w:t>
      </w:r>
    </w:p>
    <w:p>
      <w:pPr>
        <w:pStyle w:val="Header"/>
        <w:numPr>
          <w:ilvl w:val="0"/>
          <w:numId w:val="5"/>
        </w:numPr>
        <w:tabs>
          <w:tab w:val="clear" w:pos="4320"/>
          <w:tab w:val="clear" w:pos="8640"/>
        </w:tabs>
        <w:rPr/>
      </w:pPr>
      <w:r>
        <w:rPr/>
        <w:t>The physical EGM group (Michelle Bruce) has mostly spot or individual term deals so the need to query all deals per contract really doesn’t exist.  They are able to give risk the list of contracts.</w:t>
      </w:r>
    </w:p>
    <w:p>
      <w:pPr>
        <w:pStyle w:val="Header"/>
        <w:numPr>
          <w:ilvl w:val="0"/>
          <w:numId w:val="5"/>
        </w:numPr>
        <w:tabs>
          <w:tab w:val="clear" w:pos="4320"/>
          <w:tab w:val="clear" w:pos="8640"/>
        </w:tabs>
        <w:rPr>
          <w:highlight w:val="yellow"/>
        </w:rPr>
      </w:pPr>
      <w:r>
        <w:rPr/>
        <w:t>The physical EIM group (Kristin Hansen, Mike Moscoso, Melissa Carter) has mostly spot or individual term deals so the need to query all deals per contract really doesn’t exist.  They are able to give risk the list of contracts.</w:t>
      </w:r>
    </w:p>
    <w:p>
      <w:pPr>
        <w:pStyle w:val="Header"/>
        <w:numPr>
          <w:ilvl w:val="0"/>
          <w:numId w:val="5"/>
        </w:numPr>
        <w:tabs>
          <w:tab w:val="clear" w:pos="4320"/>
          <w:tab w:val="clear" w:pos="8640"/>
        </w:tabs>
        <w:rPr/>
      </w:pPr>
      <w:r>
        <w:rPr/>
        <w:t xml:space="preserve">EES is not performing terminations.  Instead, they are performing rejections which have a different process (key contacts Brenda Herod, Scott Mills, Kristin Albrecht) </w:t>
      </w:r>
    </w:p>
    <w:p>
      <w:pPr>
        <w:pStyle w:val="Header"/>
        <w:tabs>
          <w:tab w:val="clear" w:pos="4320"/>
          <w:tab w:val="clear" w:pos="8640"/>
        </w:tabs>
        <w:rPr/>
      </w:pPr>
      <w:r>
        <w:rPr/>
        <w:t>The documentation groups perform the following for the items on the termination tab:</w:t>
      </w:r>
    </w:p>
    <w:p>
      <w:pPr>
        <w:pStyle w:val="Normal"/>
        <w:rPr/>
      </w:pPr>
      <w:r>
        <w:rPr/>
      </w:r>
    </w:p>
    <w:p>
      <w:pPr>
        <w:pStyle w:val="Normal"/>
        <w:numPr>
          <w:ilvl w:val="0"/>
          <w:numId w:val="3"/>
        </w:numPr>
        <w:rPr/>
      </w:pPr>
      <w:r>
        <w:rPr/>
        <w:t>Each group will identify under which contracts they have deals</w:t>
      </w:r>
    </w:p>
    <w:p>
      <w:pPr>
        <w:pStyle w:val="Normal"/>
        <w:numPr>
          <w:ilvl w:val="0"/>
          <w:numId w:val="3"/>
        </w:numPr>
        <w:rPr/>
      </w:pPr>
      <w:r>
        <w:rPr/>
        <w:t>They pull the contract from Livelink and agree the terms to the Letter log</w:t>
      </w:r>
    </w:p>
    <w:p>
      <w:pPr>
        <w:pStyle w:val="Normal"/>
        <w:numPr>
          <w:ilvl w:val="0"/>
          <w:numId w:val="3"/>
        </w:numPr>
        <w:rPr/>
      </w:pPr>
      <w:r>
        <w:rPr/>
        <w:t>They run a report that lists all deal numbers associated with a contract</w:t>
      </w:r>
    </w:p>
    <w:p>
      <w:pPr>
        <w:pStyle w:val="Normal"/>
        <w:numPr>
          <w:ilvl w:val="0"/>
          <w:numId w:val="3"/>
        </w:numPr>
        <w:rPr/>
      </w:pPr>
      <w:r>
        <w:rPr/>
        <w:t>All deals with forward flow (forward flow is designated as flow/positions after Dec 1, 2001) are identified, and the ones that have been terminated are listed in a schedule and sent to the risk department</w:t>
      </w:r>
    </w:p>
    <w:p>
      <w:pPr>
        <w:pStyle w:val="Header"/>
        <w:tabs>
          <w:tab w:val="clear" w:pos="4320"/>
          <w:tab w:val="clear" w:pos="8640"/>
        </w:tabs>
        <w:rPr/>
      </w:pPr>
      <w:r>
        <w:rPr/>
      </w:r>
    </w:p>
    <w:p>
      <w:pPr>
        <w:pStyle w:val="Normal"/>
        <w:rPr/>
      </w:pPr>
      <w:r>
        <w:rPr/>
        <w:t xml:space="preserve"> </w:t>
      </w:r>
      <w:r>
        <w:rPr>
          <w:b/>
          <w:bCs/>
          <w:u w:val="single"/>
        </w:rPr>
        <w:t>Step 3 – terminating a contract – Risk</w:t>
      </w:r>
    </w:p>
    <w:p>
      <w:pPr>
        <w:pStyle w:val="Header"/>
        <w:tabs>
          <w:tab w:val="clear" w:pos="4320"/>
          <w:tab w:val="clear" w:pos="8640"/>
        </w:tabs>
        <w:rPr/>
      </w:pPr>
      <w:r>
        <w:rPr>
          <w:u w:val="single"/>
        </w:rPr>
        <w:t xml:space="preserve">General - </w:t>
      </w:r>
      <w:r>
        <w:rPr/>
        <w:t>Each risk group has set up bankruptcy books in both their risk system as well as RMS.  These books hold deals that have been terminated.  The deals are removed from any position and VAR reporting, but are still available for credit purposes.</w:t>
      </w:r>
    </w:p>
    <w:p>
      <w:pPr>
        <w:pStyle w:val="Header"/>
        <w:tabs>
          <w:tab w:val="clear" w:pos="4320"/>
          <w:tab w:val="clear" w:pos="8640"/>
        </w:tabs>
        <w:rPr/>
      </w:pPr>
      <w:r>
        <w:rPr/>
      </w:r>
    </w:p>
    <w:p>
      <w:pPr>
        <w:pStyle w:val="Header"/>
        <w:tabs>
          <w:tab w:val="clear" w:pos="4320"/>
          <w:tab w:val="clear" w:pos="8640"/>
        </w:tabs>
        <w:rPr>
          <w:u w:val="single"/>
        </w:rPr>
      </w:pPr>
      <w:r>
        <w:rPr>
          <w:u w:val="single"/>
        </w:rPr>
        <w:t>Steps</w:t>
      </w:r>
    </w:p>
    <w:p>
      <w:pPr>
        <w:pStyle w:val="Header"/>
        <w:tabs>
          <w:tab w:val="clear" w:pos="4320"/>
          <w:tab w:val="clear" w:pos="8640"/>
        </w:tabs>
        <w:rPr/>
      </w:pPr>
      <w:r>
        <w:rPr/>
        <w:t>Each day, the documentation departments give a list of terminations to the risk groups.  The risk groups require the following information:</w:t>
      </w:r>
    </w:p>
    <w:p>
      <w:pPr>
        <w:pStyle w:val="Header"/>
        <w:tabs>
          <w:tab w:val="clear" w:pos="4320"/>
          <w:tab w:val="clear" w:pos="8640"/>
        </w:tabs>
        <w:rPr/>
      </w:pPr>
      <w:r>
        <w:rPr/>
      </w:r>
    </w:p>
    <w:p>
      <w:pPr>
        <w:pStyle w:val="Header"/>
        <w:numPr>
          <w:ilvl w:val="0"/>
          <w:numId w:val="2"/>
        </w:numPr>
        <w:tabs>
          <w:tab w:val="clear" w:pos="4320"/>
          <w:tab w:val="clear" w:pos="8640"/>
        </w:tabs>
        <w:rPr/>
      </w:pPr>
      <w:r>
        <w:rPr/>
        <w:t>deal number</w:t>
      </w:r>
    </w:p>
    <w:p>
      <w:pPr>
        <w:pStyle w:val="Header"/>
        <w:numPr>
          <w:ilvl w:val="0"/>
          <w:numId w:val="2"/>
        </w:numPr>
        <w:tabs>
          <w:tab w:val="clear" w:pos="4320"/>
          <w:tab w:val="clear" w:pos="8640"/>
        </w:tabs>
        <w:rPr/>
      </w:pPr>
      <w:r>
        <w:rPr/>
        <w:t>counterparty</w:t>
      </w:r>
    </w:p>
    <w:p>
      <w:pPr>
        <w:pStyle w:val="Header"/>
        <w:numPr>
          <w:ilvl w:val="0"/>
          <w:numId w:val="2"/>
        </w:numPr>
        <w:tabs>
          <w:tab w:val="clear" w:pos="4320"/>
          <w:tab w:val="clear" w:pos="8640"/>
        </w:tabs>
        <w:rPr/>
      </w:pPr>
      <w:r>
        <w:rPr/>
        <w:t>deal termination date</w:t>
      </w:r>
    </w:p>
    <w:p>
      <w:pPr>
        <w:pStyle w:val="Header"/>
        <w:tabs>
          <w:tab w:val="clear" w:pos="4320"/>
          <w:tab w:val="clear" w:pos="8640"/>
        </w:tabs>
        <w:rPr/>
      </w:pPr>
      <w:r>
        <w:rPr/>
      </w:r>
    </w:p>
    <w:p>
      <w:pPr>
        <w:pStyle w:val="Header"/>
        <w:tabs>
          <w:tab w:val="clear" w:pos="4320"/>
          <w:tab w:val="clear" w:pos="8640"/>
        </w:tabs>
        <w:rPr/>
      </w:pPr>
      <w:r>
        <w:rPr/>
        <w:t>Before the deal is terminated it is either in the money, at the money, or out of the money, most likely has a position associated with it, a related Value at Risk, and credit exposure.</w:t>
      </w:r>
    </w:p>
    <w:p>
      <w:pPr>
        <w:pStyle w:val="Header"/>
        <w:tabs>
          <w:tab w:val="clear" w:pos="4320"/>
          <w:tab w:val="clear" w:pos="8640"/>
        </w:tabs>
        <w:rPr/>
      </w:pPr>
      <w:r>
        <w:rPr/>
      </w:r>
    </w:p>
    <w:p>
      <w:pPr>
        <w:pStyle w:val="Header"/>
        <w:tabs>
          <w:tab w:val="clear" w:pos="4320"/>
          <w:tab w:val="clear" w:pos="8640"/>
        </w:tabs>
        <w:rPr>
          <w:u w:val="single"/>
        </w:rPr>
      </w:pPr>
      <w:r>
        <w:rPr>
          <w:u w:val="single"/>
        </w:rPr>
        <w:t>Enpower</w:t>
      </w:r>
    </w:p>
    <w:p>
      <w:pPr>
        <w:pStyle w:val="Header"/>
        <w:tabs>
          <w:tab w:val="clear" w:pos="4320"/>
          <w:tab w:val="clear" w:pos="8640"/>
        </w:tabs>
        <w:rPr/>
      </w:pPr>
      <w:r>
        <w:rPr/>
        <w:t>When the contract is terminated, each deal under the contract is split into two deals – 1) the position from inception through to termination date and 2) from termination date through to the end of the deal term (the “forward portion”).</w:t>
      </w:r>
    </w:p>
    <w:p>
      <w:pPr>
        <w:pStyle w:val="Header"/>
        <w:tabs>
          <w:tab w:val="clear" w:pos="4320"/>
          <w:tab w:val="clear" w:pos="8640"/>
        </w:tabs>
        <w:rPr/>
      </w:pPr>
      <w:r>
        <w:rPr/>
      </w:r>
    </w:p>
    <w:p>
      <w:pPr>
        <w:pStyle w:val="Header"/>
        <w:tabs>
          <w:tab w:val="clear" w:pos="4320"/>
          <w:tab w:val="clear" w:pos="8640"/>
        </w:tabs>
        <w:rPr/>
      </w:pPr>
      <w:r>
        <w:pict>
          <v:shape id="shape_0" adj="10800" fillcolor="white" stroked="t" o:allowincell="f" style="position:absolute;margin-left:387pt;margin-top:13.85pt;width:114.7pt;height:61.45pt;mso-wrap-style:none;v-text-anchor:middle" type="_x0000_t136">
            <v:path textpathok="t"/>
            <v:textpath on="t" fitshape="t" string="draft" style="font-family:&quot;Arial Black&quot;;font-size:44pt;font-style:italic" trim="t"/>
            <v:fill o:detectmouseclick="t" type="solid" color2="black"/>
            <v:stroke color="black" weight="9360" joinstyle="miter" endcap="flat"/>
            <v:shadow on="t" obscured="f" color="gray"/>
            <w10:wrap type="none"/>
          </v:shape>
        </w:pict>
      </w:r>
      <w:r>
        <w:rPr/>
        <w:t>Risk will move the forward portion from the book and move it to the bankruptcy book.  This is done at the value that was in the book at the date the deal was terminated.</w:t>
      </w:r>
    </w:p>
    <w:p>
      <w:pPr>
        <w:pStyle w:val="Header"/>
        <w:tabs>
          <w:tab w:val="clear" w:pos="4320"/>
          <w:tab w:val="clear" w:pos="8640"/>
        </w:tabs>
        <w:rPr/>
      </w:pPr>
      <w:r>
        <w:rPr/>
      </w:r>
    </w:p>
    <w:p>
      <w:pPr>
        <w:pStyle w:val="Header"/>
        <w:tabs>
          <w:tab w:val="clear" w:pos="4320"/>
          <w:tab w:val="clear" w:pos="8640"/>
        </w:tabs>
        <w:rPr/>
      </w:pPr>
      <w:r>
        <w:rPr/>
        <w:t>All deals are then recorded on schedule E “liquidations schedule” and the accounting department will ensure that the appropriate gain or loss is taken on these positions.</w:t>
      </w:r>
    </w:p>
    <w:p>
      <w:pPr>
        <w:pStyle w:val="Header"/>
        <w:tabs>
          <w:tab w:val="clear" w:pos="4320"/>
          <w:tab w:val="clear" w:pos="8640"/>
        </w:tabs>
        <w:rPr/>
      </w:pPr>
      <w:r>
        <w:rPr/>
      </w:r>
    </w:p>
    <w:p>
      <w:pPr>
        <w:pStyle w:val="Header"/>
        <w:tabs>
          <w:tab w:val="clear" w:pos="4320"/>
          <w:tab w:val="clear" w:pos="8640"/>
        </w:tabs>
        <w:rPr/>
      </w:pPr>
      <w:r>
        <w:rPr/>
        <w:t>Each time risk receives an updated terminations listing from documentation, they compare the positions in the book prior to terminations (“old calc”) against the positions in the book after terminations (“new calc”) to compare counterparties in each calc and ensure that counterparties that have terminated are not listed in the new calc.</w:t>
      </w:r>
    </w:p>
    <w:p>
      <w:pPr>
        <w:pStyle w:val="Header"/>
        <w:tabs>
          <w:tab w:val="clear" w:pos="4320"/>
          <w:tab w:val="clear" w:pos="8640"/>
        </w:tabs>
        <w:rPr/>
      </w:pPr>
      <w:r>
        <w:rPr/>
      </w:r>
    </w:p>
    <w:p>
      <w:pPr>
        <w:pStyle w:val="Header"/>
        <w:tabs>
          <w:tab w:val="clear" w:pos="4320"/>
          <w:tab w:val="clear" w:pos="8640"/>
        </w:tabs>
        <w:rPr>
          <w:u w:val="single"/>
        </w:rPr>
      </w:pPr>
      <w:r>
        <w:rPr>
          <w:u w:val="single"/>
        </w:rPr>
        <w:t>TAGG/ERMS</w:t>
      </w:r>
    </w:p>
    <w:p>
      <w:pPr>
        <w:pStyle w:val="Header"/>
        <w:tabs>
          <w:tab w:val="clear" w:pos="4320"/>
          <w:tab w:val="clear" w:pos="8640"/>
        </w:tabs>
        <w:rPr/>
      </w:pPr>
      <w:r>
        <w:rPr/>
        <w:t>When the list of deals to be terminated is received from the documentation department, risk works with the IT department to run a batch process to remove the deals from the book into the bankruptcy book.  The specific process that IT runs ensures that the value of the liquidated portion of the deal remains in the books as an “old calc”.  Since this process is run at a batch level, risk is not able to liquidate deals at the termination date, rather the deals are moved at the value of the deal the date the batch process was run and deal was moved.</w:t>
      </w:r>
    </w:p>
    <w:p>
      <w:pPr>
        <w:pStyle w:val="Header"/>
        <w:tabs>
          <w:tab w:val="clear" w:pos="4320"/>
          <w:tab w:val="clear" w:pos="8640"/>
        </w:tabs>
        <w:rPr/>
      </w:pPr>
      <w:r>
        <w:rPr/>
      </w:r>
    </w:p>
    <w:p>
      <w:pPr>
        <w:pStyle w:val="Header"/>
        <w:tabs>
          <w:tab w:val="clear" w:pos="4320"/>
          <w:tab w:val="clear" w:pos="8640"/>
        </w:tabs>
        <w:rPr/>
      </w:pPr>
      <w:r>
        <w:rPr/>
        <w:t xml:space="preserve">All deals are then recorded on schedule E “liquidations schedule” and the accounting department will ensure that the appropriate gain or loss is taken on these positions.  </w:t>
      </w:r>
    </w:p>
    <w:p>
      <w:pPr>
        <w:pStyle w:val="Header"/>
        <w:tabs>
          <w:tab w:val="clear" w:pos="4320"/>
          <w:tab w:val="clear" w:pos="8640"/>
        </w:tabs>
        <w:rPr/>
      </w:pPr>
      <w:r>
        <w:rPr/>
      </w:r>
    </w:p>
    <w:p>
      <w:pPr>
        <w:pStyle w:val="Header"/>
        <w:tabs>
          <w:tab w:val="clear" w:pos="4320"/>
          <w:tab w:val="clear" w:pos="8640"/>
        </w:tabs>
        <w:rPr/>
      </w:pPr>
      <w:r>
        <w:rPr/>
        <w:t>Each time risk receives an updated terminations listing from documentation, they compare the positions in the book prior to terminations (“old calc”) against the positions in the book after terminations (“new calc”) to compare counterparties in each calc and ensure that counterparties that have terminated are not listed in the new calc.</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28"/>
      </w:rPr>
    </w:pPr>
    <w:r>
      <w:rPr>
        <w:b/>
        <w:bCs/>
        <w:sz w:val="28"/>
      </w:rPr>
      <w:t>Terminations – Process flow</w:t>
      <w:tab/>
      <w:tab/>
    </w:r>
    <w:r>
      <w:rPr>
        <w:b/>
        <w:bCs/>
        <w:sz w:val="28"/>
      </w:rPr>
      <w:fldChar w:fldCharType="begin"/>
    </w:r>
    <w:r>
      <w:rPr>
        <w:sz w:val="28"/>
        <w:b/>
        <w:bCs/>
      </w:rPr>
      <w:instrText xml:space="preserve"> DATE \@"M\/d\/yyyy" </w:instrText>
    </w:r>
    <w:r>
      <w:rPr>
        <w:sz w:val="28"/>
        <w:b/>
        <w:bCs/>
      </w:rPr>
      <w:fldChar w:fldCharType="separate"/>
    </w:r>
    <w:r>
      <w:rPr>
        <w:sz w:val="28"/>
        <w:b/>
        <w:bCs/>
      </w:rPr>
      <w:t>9/28/2025</w:t>
    </w:r>
    <w:r>
      <w:rPr>
        <w:sz w:val="28"/>
        <w:b/>
        <w:bCs/>
      </w:rPr>
      <w:fldChar w:fldCharType="end"/>
    </w:r>
  </w:p>
  <w:p>
    <w:pPr>
      <w:pStyle w:val="Header"/>
      <w:rPr/>
    </w:pPr>
    <w:r>
      <w:rPr>
        <w:i/>
        <w:iCs/>
        <w:sz w:val="18"/>
      </w:rPr>
      <w:t>Prepared by Shona Wilson (713 853 9123)</w:t>
      <w:tab/>
    </w:r>
    <w:r>
      <w:rPr>
        <w:b/>
        <w:bCs/>
        <w:sz w:val="28"/>
      </w:rPr>
      <w:tab/>
      <w:t xml:space="preserve">page </w:t>
    </w:r>
    <w:r>
      <w:rPr>
        <w:rStyle w:val="PageNumber"/>
        <w:b/>
        <w:bCs/>
        <w:sz w:val="28"/>
      </w:rPr>
      <w:fldChar w:fldCharType="begin"/>
    </w:r>
    <w:r>
      <w:rPr>
        <w:rStyle w:val="PageNumber"/>
        <w:sz w:val="28"/>
        <w:b/>
        <w:bCs/>
      </w:rPr>
      <w:instrText xml:space="preserve"> PAGE </w:instrText>
    </w:r>
    <w:r>
      <w:rPr>
        <w:rStyle w:val="PageNumber"/>
        <w:sz w:val="28"/>
        <w:b/>
        <w:bCs/>
      </w:rPr>
      <w:fldChar w:fldCharType="separate"/>
    </w:r>
    <w:r>
      <w:rPr>
        <w:rStyle w:val="PageNumber"/>
        <w:sz w:val="28"/>
        <w:b/>
        <w:bCs/>
      </w:rPr>
      <w:t>3</w:t>
    </w:r>
    <w:r>
      <w:rPr>
        <w:rStyle w:val="PageNumber"/>
        <w:sz w:val="28"/>
        <w:b/>
        <w:bCs/>
      </w:rPr>
      <w:fldChar w:fldCharType="end"/>
    </w:r>
    <w:r>
      <w:rPr>
        <w:rStyle w:val="PageNumber"/>
        <w:b/>
        <w:bCs/>
        <w:sz w:val="28"/>
      </w:rPr>
      <w:t xml:space="preserve"> of </w:t>
    </w:r>
    <w:r>
      <w:rPr>
        <w:rStyle w:val="PageNumber"/>
        <w:b/>
        <w:bCs/>
        <w:sz w:val="28"/>
      </w:rPr>
      <w:fldChar w:fldCharType="begin"/>
    </w:r>
    <w:r>
      <w:rPr>
        <w:rStyle w:val="PageNumber"/>
        <w:sz w:val="28"/>
        <w:b/>
        <w:bCs/>
      </w:rPr>
      <w:instrText xml:space="preserve"> NUMPAGES \* ARABIC </w:instrText>
    </w:r>
    <w:r>
      <w:rPr>
        <w:rStyle w:val="PageNumber"/>
        <w:sz w:val="28"/>
        <w:b/>
        <w:bCs/>
      </w:rPr>
      <w:fldChar w:fldCharType="separate"/>
    </w:r>
    <w:r>
      <w:rPr>
        <w:rStyle w:val="PageNumber"/>
        <w:sz w:val="28"/>
        <w:b/>
        <w:bCs/>
      </w:rPr>
      <w:t>3</w:t>
    </w:r>
    <w:r>
      <w:rPr>
        <w:rStyle w:val="PageNumber"/>
        <w:sz w:val="28"/>
        <w:b/>
        <w:bCs/>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360"/>
      </w:pPr>
      <w:rPr>
        <w:rFonts w:ascii="Times New Roman" w:hAnsi="Times New Roman" w:cs="Times New Roman" w:hint="default"/>
      </w:rPr>
    </w:lvl>
  </w:abstractNum>
  <w:abstractNum w:abstractNumId="3">
    <w:lvl w:ilvl="0">
      <w:start w:val="1"/>
      <w:numFmt w:val="decimal"/>
      <w:lvlText w:val="%1)"/>
      <w:lvlJc w:val="start"/>
      <w:pPr>
        <w:tabs>
          <w:tab w:val="num" w:pos="720"/>
        </w:tabs>
        <w:ind w:start="720" w:hanging="360"/>
      </w:pPr>
      <w:rPr/>
    </w:lvl>
  </w:abstractNum>
  <w:abstractNum w:abstractNumId="4">
    <w:lvl w:ilvl="0">
      <w:start w:val="1"/>
      <w:numFmt w:val="decimal"/>
      <w:lvlText w:val="%1)"/>
      <w:lvlJc w:val="start"/>
      <w:pPr>
        <w:tabs>
          <w:tab w:val="num" w:pos="720"/>
        </w:tabs>
        <w:ind w:start="720" w:hanging="360"/>
      </w:pPr>
      <w:rPr/>
    </w:lvl>
  </w:abstractNum>
  <w:abstractNum w:abstractNumId="5">
    <w:lvl w:ilvl="0">
      <w:start w:val="1"/>
      <w:numFmt w:val="bullet"/>
      <w:lvlText w:val="-"/>
      <w:lvlJc w:val="start"/>
      <w:pPr>
        <w:tabs>
          <w:tab w:val="num" w:pos="720"/>
        </w:tabs>
        <w:ind w:start="720" w:hanging="360"/>
      </w:pPr>
      <w:rPr>
        <w:rFonts w:ascii="Times New Roman" w:hAnsi="Times New Roman" w:cs="Times New Roman"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2001-12-12T17:39:00Z</dcterms:created>
  <dc:creator>Shona A. Wilson</dc:creator>
  <dc:description/>
  <dc:language>en-CA</dc:language>
  <cp:lastModifiedBy>Shona A. Wilson</cp:lastModifiedBy>
  <cp:lastPrinted>2001-12-14T14:41:00Z</cp:lastPrinted>
  <dcterms:modified xsi:type="dcterms:W3CDTF">2001-12-14T20:09:00Z</dcterms:modified>
  <cp:revision>50</cp:revision>
  <dc:subject/>
  <dc:title>There are two types of terminations: pre-bankruptcy filing and post-bankruptcy filing</dc:title>
</cp:coreProperties>
</file>