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TERMINATION AGREEMENT</w:t>
      </w:r>
    </w:p>
    <w:p>
      <w:pPr>
        <w:pStyle w:val="Normal"/>
        <w:rPr>
          <w:sz w:val="22"/>
        </w:rPr>
      </w:pPr>
      <w:r>
        <w:rPr>
          <w:sz w:val="22"/>
        </w:rPr>
      </w:r>
    </w:p>
    <w:p>
      <w:pPr>
        <w:pStyle w:val="Normal"/>
        <w:jc w:val="both"/>
        <w:rPr>
          <w:sz w:val="22"/>
        </w:rPr>
      </w:pPr>
      <w:r>
        <w:rPr>
          <w:sz w:val="22"/>
        </w:rPr>
        <w:tab/>
        <w:t>This Termination Agreement (this “Termination”), dated effective as of February 1, 2001 (the “Effective Date”), by and among El Paso Merchant Energy, L.P. (“El Paso”) (successor in interest to Coastal Merchant Energy, L.P. (f/k/a Engage Energy US, L.P.)), a Delaware limited partnership, and Enron North America Corp. (“ENA”) (f/k/a Enron Capital &amp; Trade Resources Corp.), a Delaware corporation.</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sz w:val="22"/>
        </w:rPr>
        <w:tab/>
      </w:r>
      <w:r>
        <w:rPr>
          <w:b/>
          <w:sz w:val="22"/>
        </w:rPr>
        <w:t>WHEREAS,</w:t>
      </w:r>
      <w:r>
        <w:rPr>
          <w:sz w:val="22"/>
        </w:rPr>
        <w:t xml:space="preserve"> Coastal Merchant Energy, L.P. (“Coastal”) (f/k/a Engage Energy US, L.P.) and ENA entered into an ISDA Master Agreement for swap, option, or other financially-settled derivative transactions (collectively, the “Coastal-ENA Transactions”) dated as of February 12, 1998, as same may from time to time have been modified, amended or supplemented (the “Coastal Master Agreement”);</w:t>
      </w:r>
    </w:p>
    <w:p>
      <w:pPr>
        <w:pStyle w:val="Normal"/>
        <w:jc w:val="both"/>
        <w:rPr>
          <w:sz w:val="22"/>
        </w:rPr>
      </w:pPr>
      <w:r>
        <w:rPr>
          <w:sz w:val="22"/>
        </w:rPr>
      </w:r>
    </w:p>
    <w:p>
      <w:pPr>
        <w:pStyle w:val="Normal"/>
        <w:jc w:val="both"/>
        <w:rPr/>
      </w:pPr>
      <w:r>
        <w:rPr>
          <w:sz w:val="22"/>
        </w:rPr>
        <w:tab/>
      </w:r>
      <w:r>
        <w:rPr>
          <w:b/>
          <w:sz w:val="22"/>
        </w:rPr>
        <w:t xml:space="preserve">WHEREAS, </w:t>
      </w:r>
      <w:r>
        <w:rPr>
          <w:sz w:val="22"/>
        </w:rPr>
        <w:t>in connection with the execution of the Coastal Master Agreement, ENA’s parent Enron Corp. delivered a Guaranty dated October 5, 2000 (the “Enron/Coastal Guaranty”);</w:t>
      </w:r>
    </w:p>
    <w:p>
      <w:pPr>
        <w:pStyle w:val="Normal"/>
        <w:jc w:val="both"/>
        <w:rPr>
          <w:sz w:val="22"/>
        </w:rPr>
      </w:pPr>
      <w:r>
        <w:rPr>
          <w:sz w:val="22"/>
        </w:rPr>
        <w:t xml:space="preserve"> </w:t>
      </w:r>
    </w:p>
    <w:p>
      <w:pPr>
        <w:pStyle w:val="Normal"/>
        <w:jc w:val="both"/>
        <w:rPr/>
      </w:pPr>
      <w:r>
        <w:rPr>
          <w:sz w:val="22"/>
        </w:rPr>
        <w:tab/>
      </w:r>
      <w:r>
        <w:rPr>
          <w:b/>
          <w:sz w:val="22"/>
        </w:rPr>
        <w:t xml:space="preserve">WHEREAS, </w:t>
      </w:r>
      <w:r>
        <w:rPr>
          <w:sz w:val="22"/>
        </w:rPr>
        <w:t>in connection with the execution of the Coastal Master Agreement, Coastal’s parent The Coastal Corporation delivered a Guaranty dated December 1, 2000 (the “Coastal Corporation Guaranty”);</w:t>
      </w:r>
    </w:p>
    <w:p>
      <w:pPr>
        <w:pStyle w:val="Normal"/>
        <w:jc w:val="both"/>
        <w:rPr>
          <w:sz w:val="22"/>
        </w:rPr>
      </w:pPr>
      <w:r>
        <w:rPr>
          <w:sz w:val="22"/>
        </w:rPr>
      </w:r>
    </w:p>
    <w:p>
      <w:pPr>
        <w:pStyle w:val="Normal"/>
        <w:ind w:firstLine="720" w:end="0"/>
        <w:jc w:val="both"/>
        <w:rPr/>
      </w:pPr>
      <w:r>
        <w:rPr>
          <w:b/>
          <w:sz w:val="22"/>
        </w:rPr>
        <w:t>WHEREAS,</w:t>
      </w:r>
      <w:r>
        <w:rPr>
          <w:sz w:val="22"/>
        </w:rPr>
        <w:t xml:space="preserve"> El Paso Merchant Energy, L.P. (“El Paso”) (f/k/a El Paso Merchant Energy-Gas, L.P.) and ENA entered into an ISDA Master Agreement for swap, option, or other financially-settled derivative transactions dated as of December 1, 1999, as same may from time to time have been modified, amended or supplemented (the “El Paso Master Agreement”);</w:t>
      </w:r>
    </w:p>
    <w:p>
      <w:pPr>
        <w:pStyle w:val="Normal"/>
        <w:ind w:firstLine="720" w:end="0"/>
        <w:jc w:val="both"/>
        <w:rPr>
          <w:sz w:val="22"/>
        </w:rPr>
      </w:pPr>
      <w:r>
        <w:rPr>
          <w:sz w:val="22"/>
        </w:rPr>
      </w:r>
    </w:p>
    <w:p>
      <w:pPr>
        <w:pStyle w:val="Normal"/>
        <w:ind w:firstLine="720" w:end="0"/>
        <w:jc w:val="both"/>
        <w:rPr/>
      </w:pPr>
      <w:r>
        <w:rPr>
          <w:b/>
          <w:sz w:val="22"/>
        </w:rPr>
        <w:t xml:space="preserve">WHEREAS, </w:t>
      </w:r>
      <w:r>
        <w:rPr>
          <w:sz w:val="22"/>
        </w:rPr>
        <w:t>in connection with the execution of the El Paso Master Agreement, ENA’s parent Enron Corp. delivered a Guaranty dated December 1, 1999 (the “Enron/El Paso Guaranty”);</w:t>
      </w:r>
    </w:p>
    <w:p>
      <w:pPr>
        <w:pStyle w:val="Normal"/>
        <w:jc w:val="both"/>
        <w:rPr>
          <w:sz w:val="22"/>
        </w:rPr>
      </w:pPr>
      <w:r>
        <w:rPr>
          <w:sz w:val="22"/>
        </w:rPr>
        <w:t xml:space="preserve"> </w:t>
      </w:r>
    </w:p>
    <w:p>
      <w:pPr>
        <w:pStyle w:val="Normal"/>
        <w:jc w:val="both"/>
        <w:rPr/>
      </w:pPr>
      <w:r>
        <w:rPr>
          <w:sz w:val="22"/>
        </w:rPr>
        <w:tab/>
      </w:r>
      <w:r>
        <w:rPr>
          <w:b/>
          <w:sz w:val="22"/>
        </w:rPr>
        <w:t xml:space="preserve">WHEREAS, </w:t>
      </w:r>
      <w:r>
        <w:rPr>
          <w:sz w:val="22"/>
        </w:rPr>
        <w:t>in connection with the execution of the El Paso Master Agreement, El Paso’s parent El Paso Energy Corporation delivered a Guaranty dated December 1, 1999 (the “El Paso Energy Guaranty”);</w:t>
      </w:r>
    </w:p>
    <w:p>
      <w:pPr>
        <w:pStyle w:val="Normal"/>
        <w:jc w:val="both"/>
        <w:rPr>
          <w:sz w:val="22"/>
        </w:rPr>
      </w:pPr>
      <w:r>
        <w:rPr>
          <w:sz w:val="22"/>
        </w:rPr>
      </w:r>
    </w:p>
    <w:p>
      <w:pPr>
        <w:pStyle w:val="Normal"/>
        <w:jc w:val="both"/>
        <w:rPr/>
      </w:pPr>
      <w:r>
        <w:rPr>
          <w:sz w:val="22"/>
        </w:rPr>
        <w:tab/>
      </w:r>
      <w:r>
        <w:rPr>
          <w:b/>
          <w:sz w:val="22"/>
        </w:rPr>
        <w:t>WHEREAS</w:t>
      </w:r>
      <w:r>
        <w:rPr>
          <w:sz w:val="22"/>
        </w:rPr>
        <w:t>, effective as of February 1, 2001, Coastal merged with and into El Paso, with El Paso being the surviving entity under the merger;</w:t>
      </w:r>
    </w:p>
    <w:p>
      <w:pPr>
        <w:pStyle w:val="Normal"/>
        <w:ind w:firstLine="720" w:end="0"/>
        <w:jc w:val="both"/>
        <w:rPr>
          <w:sz w:val="22"/>
        </w:rPr>
      </w:pPr>
      <w:r>
        <w:rPr>
          <w:sz w:val="22"/>
        </w:rPr>
      </w:r>
    </w:p>
    <w:p>
      <w:pPr>
        <w:pStyle w:val="Normal"/>
        <w:ind w:firstLine="720" w:end="0"/>
        <w:jc w:val="both"/>
        <w:rPr/>
      </w:pPr>
      <w:r>
        <w:rPr>
          <w:b/>
          <w:sz w:val="22"/>
        </w:rPr>
        <w:t>WHEREAS</w:t>
      </w:r>
      <w:r>
        <w:rPr>
          <w:sz w:val="22"/>
        </w:rPr>
        <w:t>, by virtue of the foregoing events, El Paso and ENA desire to terminate the Coastal Master Agreement, and desire to have the Coastal-ENA Transactions covered by the El Paso Master Agreement; and</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rPr>
        <w:t xml:space="preserve">     </w:t>
      </w:r>
      <w:r>
        <w:rPr>
          <w:sz w:val="22"/>
          <w:u w:val="single"/>
        </w:rPr>
        <w:t>Coastal Master Agreement Termination</w:t>
      </w:r>
      <w:r>
        <w:rPr>
          <w:sz w:val="22"/>
        </w:rPr>
        <w:t xml:space="preserve">.  Each of El Paso and ENA hereby acknowledges that as </w:t>
      </w:r>
    </w:p>
    <w:p>
      <w:pPr>
        <w:pStyle w:val="Normal"/>
        <w:jc w:val="both"/>
        <w:rPr>
          <w:sz w:val="22"/>
        </w:rPr>
      </w:pPr>
      <w:r>
        <w:rPr>
          <w:sz w:val="22"/>
        </w:rPr>
        <w:t>of the Effective Date, the Coastal Master Agreement is hereby terminated, and each party has fulfilled all of its respective obligations thereunder.  In addition, each of El Paso and ENA hereby acknowledges that effective as of the Effective Date, the Enron/Coastal Guaranty and the Coastal Corporation Guaranty are terminated and that Enron Corp. and The Coastal Corporation are hereby released from any obligations under the Enron/Coastal Guaranty and the Coastal Corporation Guaranty, respectively.</w:t>
      </w:r>
    </w:p>
    <w:p>
      <w:pPr>
        <w:pStyle w:val="Normal"/>
        <w:jc w:val="both"/>
        <w:rPr>
          <w:sz w:val="22"/>
        </w:rPr>
      </w:pPr>
      <w:r>
        <w:rPr>
          <w:sz w:val="22"/>
        </w:rPr>
      </w:r>
    </w:p>
    <w:p>
      <w:pPr>
        <w:pStyle w:val="Normal"/>
        <w:jc w:val="both"/>
        <w:rPr/>
      </w:pPr>
      <w:r>
        <w:rPr>
          <w:sz w:val="22"/>
        </w:rPr>
        <w:tab/>
        <w:t>2.</w:t>
        <w:tab/>
      </w:r>
      <w:r>
        <w:rPr>
          <w:sz w:val="22"/>
          <w:u w:val="single"/>
        </w:rPr>
        <w:t>Coastal-ENA Transactions</w:t>
      </w:r>
      <w:r>
        <w:rPr>
          <w:sz w:val="22"/>
        </w:rPr>
        <w:t>.  Each of El Paso and ENA hereby acknowledges that effective as of the Effective Date, the Coastal-ENA Transactions are hereby covered and governed by the El Paso Master Agreement.</w:t>
      </w:r>
    </w:p>
    <w:p>
      <w:pPr>
        <w:pStyle w:val="Normal"/>
        <w:jc w:val="both"/>
        <w:rPr>
          <w:sz w:val="22"/>
        </w:rPr>
      </w:pPr>
      <w:r>
        <w:rPr>
          <w:sz w:val="22"/>
        </w:rPr>
      </w:r>
    </w:p>
    <w:p>
      <w:pPr>
        <w:pStyle w:val="Normal"/>
        <w:jc w:val="both"/>
        <w:rPr/>
      </w:pPr>
      <w:r>
        <w:rPr>
          <w:sz w:val="22"/>
        </w:rPr>
        <w:tab/>
        <w:t>3.</w:t>
        <w:tab/>
      </w:r>
      <w:r>
        <w:rPr>
          <w:sz w:val="22"/>
          <w:u w:val="single"/>
        </w:rPr>
        <w:t>Guaranty Documents</w:t>
      </w:r>
      <w:r>
        <w:rPr>
          <w:sz w:val="22"/>
        </w:rPr>
        <w:t xml:space="preserve">.  (a) Enron Corp. hereby acknowledges that effective as of the Effective Date, the Enron/El Paso Guaranty shall cover ENA’s obligations with respect to the Coastal-ENA Transactions, and (b) the El Paso Energy Guaranty shall cover El Paso’s obligations with respect to the Coastal-ENA Transactions. </w:t>
      </w:r>
    </w:p>
    <w:p>
      <w:pPr>
        <w:pStyle w:val="Normal"/>
        <w:jc w:val="both"/>
        <w:rPr>
          <w:sz w:val="22"/>
        </w:rPr>
      </w:pPr>
      <w:r>
        <w:rPr>
          <w:sz w:val="22"/>
        </w:rPr>
      </w:r>
    </w:p>
    <w:p>
      <w:pPr>
        <w:pStyle w:val="Normal"/>
        <w:jc w:val="both"/>
        <w:rPr/>
      </w:pPr>
      <w:r>
        <w:rPr>
          <w:sz w:val="22"/>
        </w:rPr>
        <w:tab/>
        <w:t>4.</w:t>
        <w:tab/>
      </w:r>
      <w:r>
        <w:rPr>
          <w:sz w:val="22"/>
          <w:u w:val="single"/>
        </w:rPr>
        <w:t>Governing Law</w:t>
      </w:r>
      <w:r>
        <w:rPr>
          <w:sz w:val="22"/>
        </w:rPr>
        <w:t>.  This Agreement shall be governed by, and construed, interpreted and enforced in accordance with, the laws of the State of Texas (without reference to the choice of law doctrine).</w:t>
      </w:r>
    </w:p>
    <w:p>
      <w:pPr>
        <w:pStyle w:val="Normal"/>
        <w:jc w:val="both"/>
        <w:rPr>
          <w:sz w:val="22"/>
        </w:rPr>
      </w:pPr>
      <w:r>
        <w:rPr>
          <w:sz w:val="22"/>
        </w:rPr>
      </w:r>
    </w:p>
    <w:p>
      <w:pPr>
        <w:pStyle w:val="Normal"/>
        <w:jc w:val="both"/>
        <w:rPr/>
      </w:pPr>
      <w:r>
        <w:rPr>
          <w:sz w:val="22"/>
        </w:rPr>
        <w:tab/>
        <w:t>5.</w:t>
        <w:tab/>
      </w:r>
      <w:r>
        <w:rPr>
          <w:sz w:val="22"/>
          <w:u w:val="single"/>
        </w:rPr>
        <w:t>Counterparts</w:t>
      </w:r>
      <w:r>
        <w:rPr>
          <w:sz w:val="22"/>
        </w:rPr>
        <w:t>.  This Agreement may be executed in any number of counterparts, each of which shall be deemed an original instrument and all of which when taken together shall constitute one and the same agreement.</w:t>
      </w:r>
    </w:p>
    <w:p>
      <w:pPr>
        <w:pStyle w:val="Normal"/>
        <w:keepNext w:val="true"/>
        <w:jc w:val="both"/>
        <w:rPr>
          <w:sz w:val="22"/>
        </w:rPr>
      </w:pPr>
      <w:r>
        <w:rPr>
          <w:sz w:val="22"/>
        </w:rPr>
        <w:t xml:space="preserve"> </w:t>
      </w:r>
    </w:p>
    <w:p>
      <w:pPr>
        <w:pStyle w:val="Normal"/>
        <w:keepNext w:val="true"/>
        <w:spacing w:lineRule="exact" w:line="240"/>
        <w:ind w:firstLine="720" w:end="0"/>
        <w:jc w:val="both"/>
        <w:rPr>
          <w:sz w:val="22"/>
        </w:rPr>
      </w:pPr>
      <w:r>
        <w:rPr>
          <w:sz w:val="22"/>
        </w:rPr>
        <w:t>IN WITNESS WHEREOF, the parties hereto have executed this Termination effective as of the Effective Date.</w:t>
      </w:r>
    </w:p>
    <w:p>
      <w:pPr>
        <w:pStyle w:val="Normal"/>
        <w:keepNext w:val="true"/>
        <w:jc w:val="both"/>
        <w:rPr>
          <w:sz w:val="22"/>
        </w:rPr>
      </w:pPr>
      <w:r>
        <w:rPr>
          <w:sz w:val="22"/>
        </w:rPr>
      </w:r>
    </w:p>
    <w:p>
      <w:pPr>
        <w:pStyle w:val="Normal"/>
        <w:keepNext w:val="true"/>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keepNext w:val="true"/>
              <w:spacing w:lineRule="exact" w:line="240"/>
              <w:jc w:val="both"/>
              <w:rPr>
                <w:b/>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sz w:val="22"/>
              </w:rPr>
            </w:pPr>
            <w:r>
              <w:rPr>
                <w:sz w:val="22"/>
              </w:rPr>
              <w:t xml:space="preserve">Title:     </w:t>
            </w:r>
            <w:r>
              <w:rPr>
                <w:sz w:val="22"/>
                <w:u w:val="single"/>
              </w:rPr>
              <w:tab/>
              <w:tab/>
              <w:tab/>
              <w:tab/>
              <w:tab/>
            </w:r>
          </w:p>
        </w:tc>
        <w:tc>
          <w:tcPr>
            <w:tcW w:w="4950" w:type="dxa"/>
            <w:tcBorders/>
          </w:tcPr>
          <w:p>
            <w:pPr>
              <w:pStyle w:val="Normal"/>
              <w:keepNext w:val="true"/>
              <w:spacing w:lineRule="exact" w:line="240"/>
              <w:jc w:val="both"/>
              <w:rPr>
                <w:b/>
                <w:sz w:val="22"/>
              </w:rPr>
            </w:pPr>
            <w:r>
              <w:rPr>
                <w:b/>
                <w:sz w:val="22"/>
              </w:rPr>
              <w:t>EL PASO MERCHANT ENERGY, L.P.</w:t>
            </w:r>
          </w:p>
          <w:p>
            <w:pPr>
              <w:pStyle w:val="BodyText2"/>
              <w:rPr/>
            </w:pPr>
            <w:r>
              <w:rPr/>
              <w:t>By:  El Paso Merchant Energy Company, its General Partner</w:t>
            </w:r>
          </w:p>
          <w:p>
            <w:pPr>
              <w:pStyle w:val="Normal"/>
              <w:keepNext w:val="true"/>
              <w:spacing w:lineRule="exact" w:line="240"/>
              <w:jc w:val="both"/>
              <w:rPr>
                <w:bCs/>
                <w:sz w:val="22"/>
              </w:rPr>
            </w:pPr>
            <w:r>
              <w:rPr>
                <w:bCs/>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sz w:val="22"/>
              </w:rPr>
            </w:pPr>
            <w:r>
              <w:rPr>
                <w:sz w:val="22"/>
              </w:rPr>
              <w:t>Title:</w:t>
              <w:tab/>
            </w:r>
            <w:r>
              <w:rPr>
                <w:sz w:val="22"/>
                <w:u w:val="single"/>
              </w:rPr>
              <w:tab/>
              <w:tab/>
              <w:tab/>
              <w:tab/>
              <w:tab/>
            </w:r>
          </w:p>
        </w:tc>
      </w:tr>
      <w:tr>
        <w:trPr/>
        <w:tc>
          <w:tcPr>
            <w:tcW w:w="5328" w:type="dxa"/>
            <w:tcBorders/>
          </w:tcPr>
          <w:p>
            <w:pPr>
              <w:pStyle w:val="Normal"/>
              <w:keepNext w:val="true"/>
              <w:snapToGrid w:val="false"/>
              <w:spacing w:lineRule="exact" w:line="240"/>
              <w:jc w:val="both"/>
              <w:rPr>
                <w:b/>
                <w:sz w:val="22"/>
              </w:rPr>
            </w:pPr>
            <w:r>
              <w:rPr>
                <w:b/>
                <w:sz w:val="22"/>
              </w:rPr>
            </w:r>
          </w:p>
        </w:tc>
        <w:tc>
          <w:tcPr>
            <w:tcW w:w="4950" w:type="dxa"/>
            <w:tcBorders/>
          </w:tcPr>
          <w:p>
            <w:pPr>
              <w:pStyle w:val="Normal"/>
              <w:keepNext w:val="true"/>
              <w:snapToGrid w:val="false"/>
              <w:spacing w:lineRule="exact" w:line="240"/>
              <w:jc w:val="both"/>
              <w:rPr>
                <w:b/>
                <w:sz w:val="22"/>
              </w:rPr>
            </w:pPr>
            <w:r>
              <w:rPr>
                <w:b/>
                <w:sz w:val="22"/>
              </w:rPr>
            </w:r>
          </w:p>
        </w:tc>
      </w:tr>
    </w:tbl>
    <w:p>
      <w:pPr>
        <w:pStyle w:val="Normal"/>
        <w:keepNext w:val="true"/>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keepNext w:val="true"/>
              <w:spacing w:lineRule="exact" w:line="240"/>
              <w:jc w:val="both"/>
              <w:rPr>
                <w:b/>
                <w:sz w:val="22"/>
              </w:rPr>
            </w:pPr>
            <w:r>
              <w:rPr>
                <w:b/>
                <w:sz w:val="22"/>
              </w:rPr>
              <w:t>ENRON CORP.</w:t>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sz w:val="22"/>
              </w:rPr>
            </w:pPr>
            <w:r>
              <w:rPr>
                <w:sz w:val="22"/>
              </w:rPr>
              <w:t xml:space="preserve">Title:     </w:t>
            </w:r>
            <w:r>
              <w:rPr>
                <w:sz w:val="22"/>
                <w:u w:val="single"/>
              </w:rPr>
              <w:tab/>
              <w:tab/>
              <w:tab/>
              <w:tab/>
              <w:tab/>
            </w:r>
          </w:p>
        </w:tc>
        <w:tc>
          <w:tcPr>
            <w:tcW w:w="4950" w:type="dxa"/>
            <w:tcBorders/>
          </w:tcPr>
          <w:p>
            <w:pPr>
              <w:pStyle w:val="Normal"/>
              <w:keepNext w:val="true"/>
              <w:spacing w:lineRule="exact" w:line="240"/>
              <w:jc w:val="both"/>
              <w:rPr>
                <w:b/>
                <w:sz w:val="22"/>
              </w:rPr>
            </w:pPr>
            <w:r>
              <w:rPr>
                <w:b/>
                <w:sz w:val="22"/>
              </w:rPr>
              <w:t>EL PASO ENERGY CORPORATION</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sz w:val="22"/>
              </w:rPr>
            </w:pPr>
            <w:r>
              <w:rPr>
                <w:sz w:val="22"/>
              </w:rPr>
              <w:t>Title:</w:t>
              <w:tab/>
            </w:r>
            <w:r>
              <w:rPr>
                <w:sz w:val="22"/>
                <w:u w:val="single"/>
              </w:rPr>
              <w:tab/>
              <w:tab/>
              <w:tab/>
              <w:tab/>
              <w:tab/>
            </w:r>
          </w:p>
        </w:tc>
      </w:tr>
      <w:tr>
        <w:trPr/>
        <w:tc>
          <w:tcPr>
            <w:tcW w:w="5328" w:type="dxa"/>
            <w:tcBorders/>
          </w:tcPr>
          <w:p>
            <w:pPr>
              <w:pStyle w:val="Normal"/>
              <w:keepNext w:val="true"/>
              <w:snapToGrid w:val="false"/>
              <w:spacing w:lineRule="exact" w:line="240"/>
              <w:jc w:val="both"/>
              <w:rPr>
                <w:b/>
                <w:sz w:val="22"/>
              </w:rPr>
            </w:pPr>
            <w:r>
              <w:rPr>
                <w:b/>
                <w:sz w:val="22"/>
              </w:rPr>
            </w:r>
          </w:p>
        </w:tc>
        <w:tc>
          <w:tcPr>
            <w:tcW w:w="4950" w:type="dxa"/>
            <w:tcBorders/>
          </w:tcPr>
          <w:p>
            <w:pPr>
              <w:pStyle w:val="Normal"/>
              <w:keepNext w:val="true"/>
              <w:snapToGrid w:val="false"/>
              <w:spacing w:lineRule="exact" w:line="240"/>
              <w:jc w:val="both"/>
              <w:rPr>
                <w:b/>
                <w:sz w:val="22"/>
              </w:rPr>
            </w:pPr>
            <w:r>
              <w:rPr>
                <w:b/>
                <w:sz w:val="22"/>
              </w:rPr>
            </w:r>
          </w:p>
        </w:tc>
      </w:tr>
    </w:tbl>
    <w:p>
      <w:pPr>
        <w:pStyle w:val="Normal"/>
        <w:keepNext w:val="true"/>
        <w:jc w:val="both"/>
        <w:rPr/>
      </w:pPr>
      <w:r>
        <w:rPr/>
      </w:r>
    </w:p>
    <w:sectPr>
      <w:headerReference w:type="default" r:id="rId2"/>
      <w:footerReference w:type="default" r:id="rId3"/>
      <w:type w:val="nextPage"/>
      <w:pgSz w:w="12240" w:h="15840"/>
      <w:pgMar w:left="1296" w:right="1008" w:gutter="0" w:header="720" w:top="1440" w:footer="72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 xml:space="preserve">O:\Legal\Sbailey\Misc\termination(coastalmerchantenergy).doc </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spacing w:lineRule="exact" w:line="240"/>
      <w:jc w:val="both"/>
    </w:pPr>
    <w:rPr>
      <w:bCs/>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2001-02-20T15:03:00Z</dcterms:created>
  <dc:creator>tjones</dc:creator>
  <dc:description/>
  <dc:language>en-CA</dc:language>
  <cp:lastModifiedBy>sbaile2</cp:lastModifiedBy>
  <cp:lastPrinted>2001-02-21T09:17:00Z</cp:lastPrinted>
  <dcterms:modified xsi:type="dcterms:W3CDTF">2001-02-21T12:48:00Z</dcterms:modified>
  <cp:revision>14</cp:revision>
  <dc:subject/>
  <dc:title>ASSIGNMENT AGREEMENT</dc:title>
</cp:coreProperties>
</file>