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CA"/>
        </w:rPr>
      </w:pPr>
      <w:r>
        <w:rPr>
          <w:lang w:val="en-CA"/>
        </w:rPr>
        <w:drawing>
          <wp:anchor behindDoc="0" distT="0" distB="0" distL="114935" distR="114935" simplePos="0" locked="0" layoutInCell="1" allowOverlap="1" relativeHeight="2">
            <wp:simplePos x="0" y="0"/>
            <wp:positionH relativeFrom="column">
              <wp:posOffset>502920</wp:posOffset>
            </wp:positionH>
            <wp:positionV relativeFrom="paragraph">
              <wp:posOffset>-91440</wp:posOffset>
            </wp:positionV>
            <wp:extent cx="1050925" cy="9163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2" t="-25" r="-22" b="-25"/>
                    <a:stretch>
                      <a:fillRect/>
                    </a:stretch>
                  </pic:blipFill>
                  <pic:spPr bwMode="auto">
                    <a:xfrm>
                      <a:off x="0" y="0"/>
                      <a:ext cx="1050925" cy="916305"/>
                    </a:xfrm>
                    <a:prstGeom prst="rect">
                      <a:avLst/>
                    </a:prstGeom>
                    <a:noFill/>
                  </pic:spPr>
                </pic:pic>
              </a:graphicData>
            </a:graphic>
          </wp:anchor>
        </w:drawing>
      </w:r>
    </w:p>
    <w:p>
      <w:pPr>
        <w:pStyle w:val="Normal"/>
        <w:rPr>
          <w:lang w:val="en-CA"/>
        </w:rPr>
      </w:pPr>
      <w:r>
        <w:rPr>
          <w:lang w:val="en-CA"/>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tabs>
          <w:tab w:val="clear" w:pos="720"/>
          <w:tab w:val="left" w:pos="1170" w:leader="none"/>
        </w:tabs>
        <w:rPr/>
      </w:pPr>
      <w:r>
        <w:rPr>
          <w:rFonts w:cs="Arial" w:ascii="Arial" w:hAnsi="Arial"/>
          <w:b/>
          <w:i/>
          <w:sz w:val="24"/>
        </w:rPr>
        <w:t>Date:</w:t>
      </w:r>
      <w:r>
        <w:rPr>
          <w:rFonts w:cs="Arial" w:ascii="Arial" w:hAnsi="Arial"/>
          <w:sz w:val="24"/>
        </w:rPr>
        <w:tab/>
        <w:t>October 25, 2000</w:t>
      </w:r>
    </w:p>
    <w:p>
      <w:pPr>
        <w:pStyle w:val="Normal"/>
        <w:tabs>
          <w:tab w:val="clear" w:pos="720"/>
          <w:tab w:val="left" w:pos="1170" w:leader="none"/>
        </w:tabs>
        <w:spacing w:lineRule="exact" w:line="180"/>
        <w:rPr>
          <w:rFonts w:ascii="Arial" w:hAnsi="Arial" w:cs="Arial"/>
          <w:sz w:val="24"/>
        </w:rPr>
      </w:pPr>
      <w:r>
        <w:rPr>
          <w:rFonts w:cs="Arial" w:ascii="Arial" w:hAnsi="Arial"/>
          <w:sz w:val="24"/>
        </w:rPr>
      </w:r>
    </w:p>
    <w:p>
      <w:pPr>
        <w:pStyle w:val="Normal"/>
        <w:tabs>
          <w:tab w:val="clear" w:pos="720"/>
          <w:tab w:val="left" w:pos="1170" w:leader="none"/>
        </w:tabs>
        <w:rPr/>
      </w:pPr>
      <w:r>
        <w:rPr>
          <w:rFonts w:cs="Arial" w:ascii="Arial" w:hAnsi="Arial"/>
          <w:b/>
          <w:i/>
          <w:sz w:val="24"/>
        </w:rPr>
        <w:t>To:</w:t>
      </w:r>
      <w:r>
        <w:rPr>
          <w:rFonts w:cs="Arial" w:ascii="Arial" w:hAnsi="Arial"/>
          <w:b/>
          <w:sz w:val="24"/>
        </w:rPr>
        <w:tab/>
        <w:t>Richard Sanders, Shari Stack</w:t>
      </w:r>
    </w:p>
    <w:p>
      <w:pPr>
        <w:pStyle w:val="Normal"/>
        <w:tabs>
          <w:tab w:val="clear" w:pos="720"/>
          <w:tab w:val="left" w:pos="1170" w:leader="none"/>
        </w:tabs>
        <w:spacing w:lineRule="exact" w:line="180"/>
        <w:rPr>
          <w:rFonts w:ascii="Arial" w:hAnsi="Arial" w:cs="Arial"/>
          <w:b/>
          <w:sz w:val="24"/>
        </w:rPr>
      </w:pPr>
      <w:r>
        <w:rPr>
          <w:rFonts w:cs="Arial" w:ascii="Arial" w:hAnsi="Arial"/>
          <w:b/>
          <w:sz w:val="24"/>
        </w:rPr>
      </w:r>
    </w:p>
    <w:p>
      <w:pPr>
        <w:pStyle w:val="Normal"/>
        <w:tabs>
          <w:tab w:val="clear" w:pos="720"/>
          <w:tab w:val="left" w:pos="1170" w:leader="none"/>
        </w:tabs>
        <w:spacing w:lineRule="exact" w:line="180"/>
        <w:rPr/>
      </w:pPr>
      <w:r>
        <w:rPr>
          <w:rFonts w:cs="Arial" w:ascii="Arial" w:hAnsi="Arial"/>
          <w:b/>
          <w:i/>
          <w:sz w:val="24"/>
        </w:rPr>
        <w:t>CC:</w:t>
      </w:r>
      <w:r>
        <w:rPr>
          <w:rFonts w:cs="Arial" w:ascii="Arial" w:hAnsi="Arial"/>
          <w:sz w:val="24"/>
        </w:rPr>
        <w:tab/>
        <w:t>Tim Belden</w:t>
      </w:r>
    </w:p>
    <w:p>
      <w:pPr>
        <w:pStyle w:val="Normal"/>
        <w:tabs>
          <w:tab w:val="clear" w:pos="720"/>
          <w:tab w:val="left" w:pos="1170" w:leader="none"/>
        </w:tabs>
        <w:spacing w:lineRule="exact" w:line="180"/>
        <w:rPr>
          <w:rFonts w:ascii="Arial" w:hAnsi="Arial" w:cs="Arial"/>
          <w:sz w:val="24"/>
        </w:rPr>
      </w:pPr>
      <w:r>
        <w:rPr>
          <w:rFonts w:cs="Arial" w:ascii="Arial" w:hAnsi="Arial"/>
          <w:sz w:val="24"/>
        </w:rPr>
      </w:r>
    </w:p>
    <w:p>
      <w:pPr>
        <w:pStyle w:val="Normal"/>
        <w:tabs>
          <w:tab w:val="clear" w:pos="720"/>
          <w:tab w:val="left" w:pos="1170" w:leader="none"/>
        </w:tabs>
        <w:rPr/>
      </w:pPr>
      <w:r>
        <w:rPr>
          <w:rFonts w:cs="Arial" w:ascii="Arial" w:hAnsi="Arial"/>
          <w:b/>
          <w:i/>
          <w:sz w:val="24"/>
        </w:rPr>
        <w:t>From:</w:t>
      </w:r>
      <w:r>
        <w:rPr>
          <w:rFonts w:cs="Arial" w:ascii="Arial" w:hAnsi="Arial"/>
          <w:sz w:val="24"/>
        </w:rPr>
        <w:tab/>
        <w:t>Chris Foster</w:t>
      </w:r>
    </w:p>
    <w:p>
      <w:pPr>
        <w:pStyle w:val="Normal"/>
        <w:tabs>
          <w:tab w:val="clear" w:pos="720"/>
          <w:tab w:val="left" w:pos="1170" w:leader="none"/>
        </w:tabs>
        <w:spacing w:lineRule="exact" w:line="180"/>
        <w:rPr>
          <w:rFonts w:ascii="Arial" w:hAnsi="Arial" w:cs="Arial"/>
          <w:sz w:val="24"/>
        </w:rPr>
      </w:pPr>
      <w:r>
        <w:rPr>
          <w:rFonts w:cs="Arial" w:ascii="Arial" w:hAnsi="Arial"/>
          <w:sz w:val="24"/>
        </w:rPr>
      </w:r>
    </w:p>
    <w:p>
      <w:pPr>
        <w:pStyle w:val="Heading2"/>
        <w:rPr/>
      </w:pPr>
      <w:r>
        <w:rPr>
          <w:b/>
          <w:i/>
        </w:rPr>
        <w:t>Subject:</w:t>
      </w:r>
      <w:r>
        <w:rPr/>
        <w:tab/>
        <w:t xml:space="preserve">CanFibre Termination Calculation </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With regard to the Power Agreement dated July 10, 1997, between EPMI and CanFibre (“Agreement”), we have set the Early Termination Date as 5 Business Days from the date CanFibre’s receipt of the attached letter (Exhibit A), which would be October 31, 2000, unless termination was deemed to occur earlier.  In the situation at hand, CanFibre filed for bankruptcy protection on October 24 and the Agreement provides for the automatic termination of the Agreement upon the occurrence of a bankruptcy event. Thus, the Termination Date is likely to be the date of the bankruptcy filing (October 24), rather than October 31.  </w:t>
      </w:r>
    </w:p>
    <w:p>
      <w:pPr>
        <w:pStyle w:val="Normal"/>
        <w:jc w:val="both"/>
        <w:rPr>
          <w:rFonts w:ascii="Arial" w:hAnsi="Arial" w:cs="Arial"/>
          <w:sz w:val="24"/>
        </w:rPr>
      </w:pPr>
      <w:r>
        <w:rPr>
          <w:rFonts w:cs="Arial" w:ascii="Arial" w:hAnsi="Arial"/>
          <w:sz w:val="24"/>
        </w:rPr>
      </w:r>
    </w:p>
    <w:p>
      <w:pPr>
        <w:pStyle w:val="BodyText2"/>
        <w:rPr/>
      </w:pPr>
      <w:r>
        <w:rPr/>
        <w:t>Pursuant to Section 9.2 of the Agreement, in the event of early termination of the Agreement, the Non-Defaulting Party (in this case EPMI) calculates the Termination Payment.  According to the procedure set forth in the Agreement, once a Termination Date is established, the Non-Defaulting Party (EPMI) shall take its Gains, Losses and Costs resulting from the termination of the obligations under the Agreement and consolidate this into a single amount. This amount is determined by comparing the value of the remaining Contract Term, Contract Quantity and Contract Price under the Agreement had it not been terminated, to the equivalent term, quantity and price which are either quoted by a bona fide third party offer or are reasonably expected to be available in the market under a replacement contract for the Agreement.  If the Non-Defaulting Party’s aggregate Losses and Costs exceed its Gains, this excess amount is the Termination Payment that would be owed by the Defaulting Party. On the other hand, if the Non-Defaulting Party’s Gains exceed its aggregate Losses and Costs, the Termination Payment is deemed equal to 0.  In CanFibre’s case, the calculation I have arrived at has our Gains exceeding our aggregate Losses and Costs, thus the Termination Payment would be 0.</w:t>
      </w:r>
    </w:p>
    <w:p>
      <w:pPr>
        <w:pStyle w:val="Normal"/>
        <w:jc w:val="both"/>
        <w:rPr>
          <w:rFonts w:ascii="Arial" w:hAnsi="Arial" w:cs="Arial"/>
          <w:sz w:val="24"/>
        </w:rPr>
      </w:pPr>
      <w:r>
        <w:rPr>
          <w:rFonts w:cs="Arial" w:ascii="Arial" w:hAnsi="Arial"/>
          <w:sz w:val="24"/>
        </w:rPr>
      </w:r>
    </w:p>
    <w:p>
      <w:pPr>
        <w:pStyle w:val="BodyText2"/>
        <w:rPr/>
      </w:pPr>
      <w:r>
        <w:rPr/>
        <w:t>As indicated on the attached spreadsheet (Exhibit B), EPMI calculates that our aggregate Losses and Costs are $567,921, while our Gains are $4,045,028.31.  The spreadsheet compares, for each month for the remaining Contract Term, the Contract Price to the market price.  The market price is assumed to be EPMI’s forward price curve for the SP-15 delivery point as of the close of business on October 25.  This price represents the price at which it is reasonable to assume EPMI could replace the CanFibre transaction.  If the Contract Price is higher than the market price, the monthly cash flow is indicated as a positive number.  For these months, termination of the CanFibre transaction is a loss or cost in our calculations.  If the Contract Price is below the market price the monthly cash flow is indicated as a negative number.  For these months, Termination of the CanFibre transaction will benefit EPMI.  The monthly amounts are adjusted to determine net present value and summed.  As the sum of all the monthly cash flow figures is negative, this indicates that termination of this Agreement will result in a mark-to-market gain to EPMI of $3,477,886.  As this is a benefit to EPMI, the Termination payment is 0.</w:t>
      </w:r>
    </w:p>
    <w:p>
      <w:pPr>
        <w:pStyle w:val="BodyText2"/>
        <w:rPr/>
      </w:pPr>
      <w:r>
        <w:rPr/>
      </w:r>
    </w:p>
    <w:p>
      <w:pPr>
        <w:pStyle w:val="BodyText2"/>
        <w:rPr/>
      </w:pPr>
      <w:r>
        <w:rPr/>
        <w:t xml:space="preserve">This analysis is based on the following assumptions: </w:t>
      </w:r>
    </w:p>
    <w:p>
      <w:pPr>
        <w:pStyle w:val="Normal"/>
        <w:jc w:val="both"/>
        <w:rPr>
          <w:rFonts w:ascii="Arial" w:hAnsi="Arial" w:cs="Arial"/>
          <w:sz w:val="24"/>
        </w:rPr>
      </w:pPr>
      <w:r>
        <w:rPr>
          <w:rFonts w:cs="Arial" w:ascii="Arial" w:hAnsi="Arial"/>
          <w:sz w:val="24"/>
        </w:rPr>
      </w:r>
    </w:p>
    <w:p>
      <w:pPr>
        <w:pStyle w:val="Normal"/>
        <w:numPr>
          <w:ilvl w:val="0"/>
          <w:numId w:val="2"/>
        </w:numPr>
        <w:tabs>
          <w:tab w:val="clear" w:pos="720"/>
          <w:tab w:val="left" w:pos="360" w:leader="none"/>
        </w:tabs>
        <w:ind w:hanging="360" w:start="360" w:end="0"/>
        <w:jc w:val="both"/>
        <w:rPr>
          <w:rFonts w:ascii="Arial" w:hAnsi="Arial" w:cs="Arial"/>
          <w:sz w:val="24"/>
        </w:rPr>
      </w:pPr>
      <w:r>
        <w:rPr>
          <w:rFonts w:cs="Arial" w:ascii="Arial" w:hAnsi="Arial"/>
          <w:sz w:val="24"/>
        </w:rPr>
        <w:t>To fulfill its obligations under the Agreement, EPMI would have continued purchasing energy from Southern California Edison until March 31, 2002.</w:t>
      </w:r>
    </w:p>
    <w:p>
      <w:pPr>
        <w:pStyle w:val="Normal"/>
        <w:numPr>
          <w:ilvl w:val="0"/>
          <w:numId w:val="2"/>
        </w:numPr>
        <w:tabs>
          <w:tab w:val="clear" w:pos="720"/>
          <w:tab w:val="left" w:pos="360" w:leader="none"/>
        </w:tabs>
        <w:ind w:hanging="360" w:start="360" w:end="0"/>
        <w:jc w:val="both"/>
        <w:rPr>
          <w:rFonts w:ascii="Arial" w:hAnsi="Arial" w:cs="Arial"/>
          <w:sz w:val="24"/>
        </w:rPr>
      </w:pPr>
      <w:r>
        <w:rPr>
          <w:rFonts w:cs="Arial" w:ascii="Arial" w:hAnsi="Arial"/>
          <w:sz w:val="24"/>
        </w:rPr>
        <w:t>CanFibre would take 9 MW/hr under the Agreement.</w:t>
      </w:r>
    </w:p>
    <w:p>
      <w:pPr>
        <w:pStyle w:val="Normal"/>
        <w:numPr>
          <w:ilvl w:val="0"/>
          <w:numId w:val="2"/>
        </w:numPr>
        <w:tabs>
          <w:tab w:val="clear" w:pos="720"/>
          <w:tab w:val="left" w:pos="360" w:leader="none"/>
        </w:tabs>
        <w:ind w:hanging="360" w:start="360" w:end="0"/>
        <w:jc w:val="both"/>
        <w:rPr>
          <w:rFonts w:ascii="Arial" w:hAnsi="Arial" w:cs="Arial"/>
          <w:sz w:val="24"/>
        </w:rPr>
      </w:pPr>
      <w:r>
        <w:rPr>
          <w:rFonts w:cs="Arial" w:ascii="Arial" w:hAnsi="Arial"/>
          <w:sz w:val="24"/>
        </w:rPr>
        <w:t>The EPMI forward curve for the SP-15 Delivery Point as of the close of business on October 24, reasonably represents the future value of energy in SP-15.</w:t>
      </w:r>
    </w:p>
    <w:p>
      <w:pPr>
        <w:pStyle w:val="Normal"/>
        <w:numPr>
          <w:ilvl w:val="0"/>
          <w:numId w:val="2"/>
        </w:numPr>
        <w:tabs>
          <w:tab w:val="clear" w:pos="720"/>
          <w:tab w:val="left" w:pos="360" w:leader="none"/>
        </w:tabs>
        <w:ind w:hanging="360" w:start="360" w:end="0"/>
        <w:jc w:val="both"/>
        <w:rPr>
          <w:rFonts w:ascii="Arial" w:hAnsi="Arial" w:cs="Arial"/>
          <w:sz w:val="24"/>
        </w:rPr>
      </w:pPr>
      <w:r>
        <w:rPr>
          <w:rFonts w:cs="Arial" w:ascii="Arial" w:hAnsi="Arial"/>
          <w:sz w:val="24"/>
        </w:rPr>
        <w:t>Transmission costs from SP-15 to the busbar of CanFibre is $5.00/MWhr.</w:t>
      </w:r>
    </w:p>
    <w:p>
      <w:pPr>
        <w:pStyle w:val="Normal"/>
        <w:numPr>
          <w:ilvl w:val="0"/>
          <w:numId w:val="2"/>
        </w:numPr>
        <w:tabs>
          <w:tab w:val="clear" w:pos="720"/>
          <w:tab w:val="left" w:pos="360" w:leader="none"/>
        </w:tabs>
        <w:ind w:hanging="360" w:start="360" w:end="0"/>
        <w:jc w:val="both"/>
        <w:rPr>
          <w:rFonts w:ascii="Arial" w:hAnsi="Arial" w:cs="Arial"/>
          <w:sz w:val="24"/>
        </w:rPr>
      </w:pPr>
      <w:r>
        <w:rPr>
          <w:rFonts w:cs="Arial" w:ascii="Arial" w:hAnsi="Arial"/>
          <w:sz w:val="24"/>
        </w:rPr>
        <w:t>The discount rate for the net present value calculations is LIBOR (London Inter-bank Offer Rate).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Current outstanding accounts receivable from CanFibre are $530,732.98 as indicated in the attached spreadsheet labeled Exhibit C.  It is my understanding that ENA Legal will be managing the possible recovery of these amounts.</w:t>
      </w:r>
    </w:p>
    <w:p>
      <w:pPr>
        <w:pStyle w:val="Normal"/>
        <w:jc w:val="center"/>
        <w:rPr>
          <w:rFonts w:ascii="Arial" w:hAnsi="Arial" w:cs="Arial"/>
          <w:sz w:val="24"/>
        </w:rPr>
      </w:pPr>
      <w:r>
        <w:rPr>
          <w:rFonts w:cs="Arial" w:ascii="Arial" w:hAnsi="Arial"/>
          <w:sz w:val="24"/>
        </w:rPr>
      </w:r>
    </w:p>
    <w:sectPr>
      <w:headerReference w:type="default" r:id="rId3"/>
      <w:type w:val="nextPage"/>
      <w:pgSz w:w="12240" w:h="15840"/>
      <w:pgMar w:left="1440" w:right="1440" w:gutter="0" w:header="720" w:top="7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 xml:space="preserve">INTERNAL MEMORANDUM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70" w:leader="none"/>
      </w:tabs>
      <w:outlineLvl w:val="0"/>
    </w:pPr>
    <w:rPr>
      <w:rFonts w:ascii="Arial" w:hAnsi="Arial" w:cs="Arial"/>
      <w:sz w:val="24"/>
    </w:rPr>
  </w:style>
  <w:style w:type="paragraph" w:styleId="Heading2">
    <w:name w:val="heading 2"/>
    <w:basedOn w:val="Normal"/>
    <w:next w:val="Normal"/>
    <w:qFormat/>
    <w:pPr>
      <w:keepNext w:val="true"/>
      <w:numPr>
        <w:ilvl w:val="1"/>
        <w:numId w:val="1"/>
      </w:numPr>
      <w:tabs>
        <w:tab w:val="clear" w:pos="720"/>
        <w:tab w:val="left" w:pos="1170" w:leader="none"/>
      </w:tabs>
      <w:ind w:hanging="0" w:start="0" w:end="-360"/>
      <w:outlineLvl w:val="1"/>
    </w:pPr>
    <w:rPr>
      <w:rFonts w:ascii="Arial" w:hAnsi="Arial" w:cs="Arial"/>
      <w:sz w:val="24"/>
    </w:rPr>
  </w:style>
  <w:style w:type="paragraph" w:styleId="Heading3">
    <w:name w:val="heading 3"/>
    <w:basedOn w:val="Normal"/>
    <w:next w:val="Normal"/>
    <w:qFormat/>
    <w:pPr>
      <w:keepNext w:val="true"/>
      <w:numPr>
        <w:ilvl w:val="2"/>
        <w:numId w:val="1"/>
      </w:numPr>
      <w:ind w:hanging="0" w:start="540" w:end="0"/>
      <w:outlineLvl w:val="2"/>
    </w:pPr>
    <w:rPr>
      <w:rFonts w:ascii="Arial" w:hAnsi="Arial" w:cs="Arial"/>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2000-10-26T11:47:00Z</dcterms:created>
  <dc:creator>ddavids3</dc:creator>
  <dc:description/>
  <dc:language>en-CA</dc:language>
  <cp:lastModifiedBy>s_mcrouch</cp:lastModifiedBy>
  <cp:lastPrinted>2000-10-26T13:54:00Z</cp:lastPrinted>
  <dcterms:modified xsi:type="dcterms:W3CDTF">2000-10-26T16:24:00Z</dcterms:modified>
  <cp:revision>6</cp:revision>
  <dc:subject/>
  <dc:title/>
</cp:coreProperties>
</file>