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August 20,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September,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BlockText"/>
        <w:numPr>
          <w:ilvl w:val="0"/>
          <w:numId w:val="8"/>
        </w:numPr>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BlockText"/>
        <w:numPr>
          <w:ilvl w:val="0"/>
          <w:numId w:val="8"/>
        </w:numPr>
        <w:rPr/>
      </w:pPr>
      <w:r>
        <w:rPr/>
        <w:t xml:space="preserve"> </w:t>
      </w:r>
      <w:r>
        <w:rPr/>
        <w:t xml:space="preserve">Seller delivers 1,456 MMBtu/day, multiplied by the percentage of flows on El Paso,  to Socal-Topock at the Inside FERC El Paso San Juan Index price plus $0.05, plus the applicable El Paso pipeline loss factor for gas transportation from San Juan to Socal-Topock. </w:t>
      </w:r>
    </w:p>
    <w:p>
      <w:pPr>
        <w:pStyle w:val="BlockText"/>
        <w:numPr>
          <w:ilvl w:val="0"/>
          <w:numId w:val="8"/>
        </w:numPr>
        <w:rPr/>
      </w:pPr>
      <w:r>
        <w:rPr>
          <w:highlight w:val="yellow"/>
        </w:rPr>
        <w:t>Seller purchases 2,430 MMBtu/day to be delivered at PG&amp;E Topock.  Sellers bid for this capacity for September, 2001 is $.51 minus variable charges.</w:t>
      </w:r>
      <w:r>
        <w:rPr/>
        <w:t xml:space="preserve"> </w:t>
      </w:r>
    </w:p>
    <w:p>
      <w:pPr>
        <w:pStyle w:val="Heading2"/>
        <w:numPr>
          <w:ilvl w:val="0"/>
          <w:numId w:val="7"/>
        </w:numPr>
        <w:rPr/>
      </w:pPr>
      <w:r>
        <w:rPr/>
        <w:t>Canadian/Engage Supply and PGT and PG&amp;E Capacity</w:t>
      </w:r>
    </w:p>
    <w:p>
      <w:pPr>
        <w:pStyle w:val="Heading7"/>
        <w:rPr/>
      </w:pPr>
      <w:r>
        <w:rPr/>
      </w:r>
    </w:p>
    <w:p>
      <w:pPr>
        <w:pStyle w:val="Normal"/>
        <w:numPr>
          <w:ilvl w:val="0"/>
          <w:numId w:val="3"/>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approximately 3,989 MMBtus/Day at KRS.  Seller purchases Buyer’s actual KRS supply volumes at NGI Socal index plus $.04 and delivers equivalent volumes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Canadian supply from third party, delivered at Kingsgate,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r>
      <w:r>
        <w:rPr/>
        <w:t>APEA Supply</w:t>
      </w:r>
    </w:p>
    <w:p>
      <w:pPr>
        <w:pStyle w:val="Normal"/>
        <w:numPr>
          <w:ilvl w:val="0"/>
          <w:numId w:val="9"/>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9"/>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9"/>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tabs>
          <w:tab w:val="clear" w:pos="720"/>
          <w:tab w:val="left" w:pos="1008" w:leader="none"/>
        </w:tabs>
        <w:spacing w:before="0" w:after="120"/>
        <w:ind w:start="648" w:end="14"/>
        <w:jc w:val="both"/>
        <w:rPr/>
      </w:pPr>
      <w:r>
        <w:rPr/>
      </w:r>
    </w:p>
    <w:p>
      <w:pPr>
        <w:pStyle w:val="Heading4"/>
        <w:rPr/>
      </w:pPr>
      <w:r>
        <w:rPr>
          <w:b w:val="false"/>
        </w:rPr>
        <w:t>VIII.</w:t>
        <w:tab/>
      </w:r>
      <w:r>
        <w:rPr/>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5"/>
        </w:numPr>
        <w:rPr/>
      </w:pPr>
      <w:r>
        <w:rPr/>
        <w:t xml:space="preserve">Buyer will notify Seller at least three days prior to the last trading day of that month’s NYMEX futures contract with its best estimate of its daily demand for the next month.  This estimate will be known as the Baseload Demand Quantity (BDQ).  The Price for any BDQ in excess of buyers El Paso supply, Canadian supply, APEA supply, and any previously fixed priced supply purchased from Seller that is scheduled prior to the month shall be the price published in </w:t>
      </w:r>
      <w:r>
        <w:rPr>
          <w:u w:val="single"/>
        </w:rPr>
        <w:t>Natural Gas Intelligence</w:t>
      </w:r>
      <w:r>
        <w:rPr/>
        <w:t xml:space="preserve"> Gas Price Index, first issue of the delivery month, in the table titled “California Border,” on the line titled Southern California Border, </w:t>
      </w:r>
      <w:r>
        <w:rPr>
          <w:highlight w:val="yellow"/>
        </w:rPr>
        <w:t>plus $.02/MMBtu</w:t>
      </w:r>
      <w:r>
        <w:rPr/>
        <w:t>.</w:t>
      </w:r>
    </w:p>
    <w:p>
      <w:pPr>
        <w:pStyle w:val="Normal"/>
        <w:numPr>
          <w:ilvl w:val="0"/>
          <w:numId w:val="5"/>
        </w:numPr>
        <w:rPr>
          <w:b/>
        </w:rPr>
      </w:pPr>
      <w:r>
        <w:rPr>
          <w:b/>
        </w:rPr>
        <w:t>OFO Management</w:t>
      </w:r>
    </w:p>
    <w:p>
      <w:pPr>
        <w:pStyle w:val="ListBullet2"/>
        <w:numPr>
          <w:ilvl w:val="0"/>
          <w:numId w:val="4"/>
        </w:numPr>
        <w:rPr>
          <w:sz w:val="20"/>
        </w:rPr>
      </w:pPr>
      <w:r>
        <w:rPr>
          <w:sz w:val="20"/>
        </w:rPr>
        <w:t>Buyer shall assign an individual at plant that Seller can contact 24-hours/day to manage SoCalGas Operational Flow Order (OFO) events.</w:t>
      </w:r>
    </w:p>
    <w:p>
      <w:pPr>
        <w:pStyle w:val="ListBullet2"/>
        <w:numPr>
          <w:ilvl w:val="0"/>
          <w:numId w:val="4"/>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4"/>
        </w:numPr>
        <w:rPr>
          <w:sz w:val="20"/>
        </w:rPr>
      </w:pPr>
      <w:r>
        <w:rPr>
          <w:sz w:val="20"/>
        </w:rPr>
        <w:t>Upon notification by Seller of an OFO event, Buyer shall set an OFO Quantity as the target for Seller to deliver during the OFO event.</w:t>
      </w:r>
    </w:p>
    <w:p>
      <w:pPr>
        <w:pStyle w:val="ListBullet2"/>
        <w:numPr>
          <w:ilvl w:val="0"/>
          <w:numId w:val="4"/>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4"/>
        </w:numPr>
        <w:rPr>
          <w:sz w:val="20"/>
        </w:rPr>
      </w:pPr>
      <w:r>
        <w:rPr>
          <w:sz w:val="20"/>
        </w:rPr>
        <w:t>Except as stated in 4. Above, any penalties incurred by Seller in delivering the OFO Quantity shall be the financial responsibility of Buyer.</w:t>
      </w:r>
    </w:p>
    <w:p>
      <w:pPr>
        <w:pStyle w:val="ListBullet2"/>
        <w:numPr>
          <w:ilvl w:val="0"/>
          <w:numId w:val="4"/>
        </w:numPr>
        <w:rPr>
          <w:sz w:val="20"/>
        </w:rPr>
      </w:pPr>
      <w:r>
        <w:rPr>
          <w:sz w:val="20"/>
        </w:rPr>
        <w:t>Any penalties incurred by Seller as a result of its failure to deliver the OFO Quantity shall be the responsibility of Seller.</w:t>
      </w:r>
    </w:p>
    <w:p>
      <w:pPr>
        <w:pStyle w:val="ListBullet2"/>
        <w:numPr>
          <w:ilvl w:val="0"/>
          <w:numId w:val="4"/>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numPr>
          <w:ilvl w:val="0"/>
          <w:numId w:val="5"/>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Any additional gas required by buyer as a result of reduced deliveries from buyer’s El Paso capacity or PGT/PG&amp;E capacity or APEA supply shall be considered to be a quantity in addition to buyer’s BDQ and shall be priced according to item number 6 above.</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numPr>
          <w:ilvl w:val="0"/>
          <w:numId w:val="2"/>
        </w:numPr>
        <w:tabs>
          <w:tab w:val="clear" w:pos="720"/>
          <w:tab w:val="left" w:pos="8640" w:leader="none"/>
        </w:tabs>
        <w:jc w:val="both"/>
        <w:rPr/>
      </w:pPr>
      <w:r>
        <w:rPr/>
        <w:t>Buyer will notify Seller in the event of a planned or unplanned outage</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5"/>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08"/>
        </w:tabs>
        <w:ind w:start="100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sz w:val="22"/>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2001-08-20T19:05:00Z</dcterms:created>
  <dc:creator>EW/LN/CB</dc:creator>
  <dc:description/>
  <cp:keywords>Ethan</cp:keywords>
  <dc:language>en-CA</dc:language>
  <cp:lastModifiedBy>kward</cp:lastModifiedBy>
  <cp:lastPrinted>2001-08-20T16:19:00Z</cp:lastPrinted>
  <dcterms:modified xsi:type="dcterms:W3CDTF">2001-08-20T19:24:00Z</dcterms:modified>
  <cp:revision>3</cp:revision>
  <dc:subject/>
  <dc:title>Ethan Frome</dc:title>
</cp:coreProperties>
</file>