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spacing w:before="0" w:after="240"/>
              <w:ind w:hanging="0" w:start="0"/>
              <w:rPr>
                <w:b w:val="false"/>
              </w:rPr>
            </w:pPr>
            <w:r>
              <w:rPr>
                <w:lang w:val="en-CA" w:eastAsia="en-CA"/>
              </w:rPr>
              <w:drawing>
                <wp:inline distT="0" distB="0" distL="0" distR="0">
                  <wp:extent cx="868045" cy="8528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0" t="-50" r="-50" b="-50"/>
                          <a:stretch>
                            <a:fillRect/>
                          </a:stretch>
                        </pic:blipFill>
                        <pic:spPr bwMode="auto">
                          <a:xfrm>
                            <a:off x="0" y="0"/>
                            <a:ext cx="868045" cy="852805"/>
                          </a:xfrm>
                          <a:prstGeom prst="rect">
                            <a:avLst/>
                          </a:prstGeom>
                          <a:noFill/>
                        </pic:spPr>
                      </pic:pic>
                    </a:graphicData>
                  </a:graphic>
                </wp:inline>
              </w:drawing>
            </w:r>
          </w:p>
        </w:tc>
        <w:tc>
          <w:tcPr>
            <w:tcW w:w="4428" w:type="dxa"/>
            <w:tcBorders/>
          </w:tcPr>
          <w:p>
            <w:pPr>
              <w:pStyle w:val="Heading1"/>
              <w:spacing w:lineRule="exact" w:line="240" w:before="0" w:after="120"/>
              <w:ind w:hanging="0" w:start="1339" w:end="0"/>
              <w:rPr>
                <w:rFonts w:ascii="Antique Olive" w:hAnsi="Antique Olive" w:cs="Antique Olive"/>
                <w:sz w:val="18"/>
              </w:rPr>
            </w:pPr>
            <w:r>
              <w:rPr>
                <w:rFonts w:cs="Antique Olive" w:ascii="Antique Olive" w:hAnsi="Antique Olive"/>
                <w:sz w:val="18"/>
              </w:rPr>
              <w:t>Enron North America</w:t>
            </w:r>
          </w:p>
          <w:p>
            <w:pPr>
              <w:pStyle w:val="Normal"/>
              <w:tabs>
                <w:tab w:val="clear" w:pos="720"/>
                <w:tab w:val="left" w:pos="1872" w:leader="none"/>
              </w:tabs>
              <w:rPr>
                <w:sz w:val="16"/>
              </w:rPr>
            </w:pPr>
            <w:r>
              <w:rPr>
                <w:sz w:val="16"/>
              </w:rPr>
              <w:tab/>
              <w:t>1400 Smith Street</w:t>
            </w:r>
          </w:p>
          <w:p>
            <w:pPr>
              <w:pStyle w:val="Normal"/>
              <w:tabs>
                <w:tab w:val="clear" w:pos="720"/>
                <w:tab w:val="left" w:pos="1872" w:leader="none"/>
              </w:tabs>
              <w:rPr>
                <w:sz w:val="16"/>
              </w:rPr>
            </w:pPr>
            <w:r>
              <w:rPr>
                <w:sz w:val="16"/>
              </w:rPr>
              <w:tab/>
              <w:t>Houston, TX 77002-7361</w:t>
            </w:r>
          </w:p>
          <w:p>
            <w:pPr>
              <w:pStyle w:val="Normal"/>
              <w:rPr/>
            </w:pPr>
            <w:r>
              <w:rPr/>
            </w:r>
          </w:p>
          <w:p>
            <w:pPr>
              <w:pStyle w:val="Heading1"/>
              <w:spacing w:lineRule="exact" w:line="240" w:before="0" w:after="0"/>
              <w:ind w:hanging="0" w:start="1872" w:end="0"/>
              <w:jc w:val="start"/>
              <w:rPr>
                <w:b w:val="false"/>
                <w:sz w:val="16"/>
              </w:rPr>
            </w:pPr>
            <w:r>
              <w:rPr>
                <w:b w:val="false"/>
                <w:sz w:val="16"/>
              </w:rPr>
              <w:t>P.O. Box 1188</w:t>
            </w:r>
          </w:p>
          <w:p>
            <w:pPr>
              <w:pStyle w:val="Heading1"/>
              <w:spacing w:lineRule="exact" w:line="240" w:before="0" w:after="240"/>
              <w:ind w:hanging="0" w:start="1872" w:end="0"/>
              <w:jc w:val="start"/>
              <w:rPr>
                <w:rFonts w:ascii="Antique Olive" w:hAnsi="Antique Olive" w:cs="Antique Olive"/>
                <w:b w:val="false"/>
                <w:sz w:val="16"/>
              </w:rPr>
            </w:pPr>
            <w:r>
              <w:rPr>
                <w:b w:val="false"/>
                <w:sz w:val="16"/>
              </w:rPr>
              <w:t>Houston, TX  77251-1188</w:t>
            </w:r>
          </w:p>
        </w:tc>
      </w:tr>
    </w:tbl>
    <w:p>
      <w:pPr>
        <w:pStyle w:val="Normal"/>
        <w:rPr/>
      </w:pPr>
      <w:r>
        <w:rPr/>
        <w:t>January 24, 2001</w:t>
      </w:r>
    </w:p>
    <w:p>
      <w:pPr>
        <w:pStyle w:val="Normal"/>
        <w:rPr/>
      </w:pPr>
      <w:r>
        <w:rPr/>
      </w:r>
    </w:p>
    <w:p>
      <w:pPr>
        <w:pStyle w:val="Heading3"/>
        <w:ind w:hanging="0" w:start="0"/>
        <w:rPr>
          <w:b/>
          <w:bCs/>
        </w:rPr>
      </w:pPr>
      <w:r>
        <w:rPr>
          <w:b/>
          <w:bCs/>
        </w:rPr>
        <w:t>Term Sheet</w:t>
      </w:r>
    </w:p>
    <w:p>
      <w:pPr>
        <w:pStyle w:val="Normal"/>
        <w:rPr>
          <w:b/>
          <w:bCs/>
        </w:rPr>
      </w:pPr>
      <w:r>
        <w:rPr>
          <w:b/>
          <w:bCs/>
        </w:rPr>
      </w:r>
    </w:p>
    <w:p>
      <w:pPr>
        <w:pStyle w:val="BodyText3"/>
        <w:tabs>
          <w:tab w:val="clear" w:pos="1332"/>
          <w:tab w:val="clear" w:pos="1512"/>
        </w:tabs>
        <w:rPr>
          <w:sz w:val="24"/>
        </w:rPr>
      </w:pPr>
      <w:r>
        <w:rPr>
          <w:sz w:val="24"/>
        </w:rPr>
        <w:t xml:space="preserve">The purpose of this “Term Sheet” is to identify key commercial terms and conditions of a potential transaction between Enron North America (“ENA”), Balli Steel (“Balli”) and WeBco International LLC (“WeBco”).  </w:t>
      </w:r>
    </w:p>
    <w:p>
      <w:pPr>
        <w:pStyle w:val="Normal"/>
        <w:rPr>
          <w:sz w:val="24"/>
        </w:rPr>
      </w:pPr>
      <w:r>
        <w:rPr>
          <w:sz w:val="24"/>
        </w:rPr>
      </w:r>
    </w:p>
    <w:p>
      <w:pPr>
        <w:pStyle w:val="Normal"/>
        <w:rPr/>
      </w:pPr>
      <w:r>
        <w:rPr/>
      </w:r>
    </w:p>
    <w:p>
      <w:pPr>
        <w:pStyle w:val="Heading3"/>
        <w:ind w:hanging="0" w:start="0"/>
        <w:rPr>
          <w:b/>
          <w:bCs/>
          <w:u w:val="single"/>
        </w:rPr>
      </w:pPr>
      <w:r>
        <w:rPr>
          <w:b/>
          <w:bCs/>
          <w:u w:val="single"/>
        </w:rPr>
        <w:t>Transaction Summary Description</w:t>
      </w:r>
    </w:p>
    <w:p>
      <w:pPr>
        <w:pStyle w:val="BodyText3"/>
        <w:tabs>
          <w:tab w:val="clear" w:pos="1332"/>
          <w:tab w:val="clear" w:pos="1512"/>
        </w:tabs>
        <w:rPr>
          <w:sz w:val="24"/>
        </w:rPr>
      </w:pPr>
      <w:r>
        <w:rPr>
          <w:sz w:val="24"/>
        </w:rPr>
        <w:t>This term sheet has five components:</w:t>
      </w:r>
    </w:p>
    <w:p>
      <w:pPr>
        <w:pStyle w:val="BodyText3"/>
        <w:tabs>
          <w:tab w:val="clear" w:pos="1332"/>
          <w:tab w:val="clear" w:pos="1512"/>
        </w:tabs>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08"/>
        <w:gridCol w:w="4932"/>
      </w:tblGrid>
      <w:tr>
        <w:trPr/>
        <w:tc>
          <w:tcPr>
            <w:tcW w:w="3708" w:type="dxa"/>
            <w:tcBorders/>
          </w:tcPr>
          <w:p>
            <w:pPr>
              <w:pStyle w:val="BodyText3"/>
              <w:numPr>
                <w:ilvl w:val="0"/>
                <w:numId w:val="3"/>
              </w:numPr>
              <w:tabs>
                <w:tab w:val="left" w:pos="360" w:leader="none"/>
                <w:tab w:val="left" w:pos="1332" w:leader="none"/>
                <w:tab w:val="left" w:pos="1512" w:leader="none"/>
              </w:tabs>
              <w:jc w:val="start"/>
              <w:rPr>
                <w:sz w:val="24"/>
              </w:rPr>
            </w:pPr>
            <w:r>
              <w:rPr>
                <w:sz w:val="24"/>
              </w:rPr>
              <w:t>General Terms</w:t>
              <w:br/>
            </w:r>
          </w:p>
        </w:tc>
        <w:tc>
          <w:tcPr>
            <w:tcW w:w="4932" w:type="dxa"/>
            <w:tcBorders/>
          </w:tcPr>
          <w:p>
            <w:pPr>
              <w:pStyle w:val="Normal"/>
              <w:tabs>
                <w:tab w:val="clear" w:pos="720"/>
                <w:tab w:val="left" w:pos="1332" w:leader="none"/>
                <w:tab w:val="left" w:pos="1512" w:leader="none"/>
              </w:tabs>
              <w:snapToGrid w:val="false"/>
              <w:rPr>
                <w:sz w:val="24"/>
              </w:rPr>
            </w:pPr>
            <w:r>
              <w:rPr>
                <w:sz w:val="24"/>
              </w:rPr>
            </w:r>
          </w:p>
        </w:tc>
      </w:tr>
      <w:tr>
        <w:trPr/>
        <w:tc>
          <w:tcPr>
            <w:tcW w:w="3708" w:type="dxa"/>
            <w:tcBorders/>
          </w:tcPr>
          <w:p>
            <w:pPr>
              <w:pStyle w:val="BodyText3"/>
              <w:numPr>
                <w:ilvl w:val="0"/>
                <w:numId w:val="3"/>
              </w:numPr>
              <w:tabs>
                <w:tab w:val="left" w:pos="360" w:leader="none"/>
                <w:tab w:val="left" w:pos="1332" w:leader="none"/>
                <w:tab w:val="left" w:pos="1512" w:leader="none"/>
              </w:tabs>
              <w:rPr>
                <w:sz w:val="24"/>
              </w:rPr>
            </w:pPr>
            <w:r>
              <w:rPr>
                <w:sz w:val="24"/>
              </w:rPr>
              <w:t>ENA Purchases Slabs from Balli:</w:t>
            </w:r>
          </w:p>
        </w:tc>
        <w:tc>
          <w:tcPr>
            <w:tcW w:w="4932" w:type="dxa"/>
            <w:tcBorders/>
          </w:tcPr>
          <w:p>
            <w:pPr>
              <w:pStyle w:val="Normal"/>
              <w:tabs>
                <w:tab w:val="clear" w:pos="720"/>
                <w:tab w:val="left" w:pos="1332" w:leader="none"/>
                <w:tab w:val="left" w:pos="1512" w:leader="none"/>
              </w:tabs>
              <w:jc w:val="both"/>
              <w:rPr/>
            </w:pPr>
            <w:r>
              <w:rPr/>
              <w:t>ENA buys 110,000 Net Tons of slab (“NT”) from Balli between March 2001 and May 2001.</w:t>
            </w:r>
          </w:p>
          <w:p>
            <w:pPr>
              <w:pStyle w:val="Normal"/>
              <w:tabs>
                <w:tab w:val="clear" w:pos="720"/>
                <w:tab w:val="left" w:pos="1332" w:leader="none"/>
                <w:tab w:val="left" w:pos="1512" w:leader="none"/>
              </w:tabs>
              <w:rPr/>
            </w:pPr>
            <w:r>
              <w:rPr/>
            </w:r>
          </w:p>
        </w:tc>
      </w:tr>
      <w:tr>
        <w:trPr/>
        <w:tc>
          <w:tcPr>
            <w:tcW w:w="3708" w:type="dxa"/>
            <w:tcBorders/>
          </w:tcPr>
          <w:p>
            <w:pPr>
              <w:pStyle w:val="BodyText3"/>
              <w:numPr>
                <w:ilvl w:val="0"/>
                <w:numId w:val="3"/>
              </w:numPr>
              <w:tabs>
                <w:tab w:val="left" w:pos="360" w:leader="none"/>
                <w:tab w:val="left" w:pos="1332" w:leader="none"/>
                <w:tab w:val="left" w:pos="1512" w:leader="none"/>
              </w:tabs>
              <w:ind w:hanging="360" w:start="360" w:end="0"/>
              <w:rPr>
                <w:sz w:val="24"/>
              </w:rPr>
            </w:pPr>
            <w:r>
              <w:rPr>
                <w:sz w:val="24"/>
              </w:rPr>
              <w:t>ENA Tolls Slab to Hot Rolled Steel and Sells Hot Rolled Steel to WeBco:</w:t>
            </w:r>
          </w:p>
        </w:tc>
        <w:tc>
          <w:tcPr>
            <w:tcW w:w="4932" w:type="dxa"/>
            <w:tcBorders/>
          </w:tcPr>
          <w:p>
            <w:pPr>
              <w:pStyle w:val="Normal"/>
              <w:tabs>
                <w:tab w:val="clear" w:pos="720"/>
                <w:tab w:val="left" w:pos="1332" w:leader="none"/>
                <w:tab w:val="left" w:pos="1512" w:leader="none"/>
              </w:tabs>
              <w:jc w:val="both"/>
              <w:rPr/>
            </w:pPr>
            <w:r>
              <w:rPr/>
              <w:t>ENA tolls 110,000 NT of slab to Hot Rolled Steel and sells such Hot Rolled Steel to WeBco starting in April 2001.</w:t>
            </w:r>
          </w:p>
          <w:p>
            <w:pPr>
              <w:pStyle w:val="Normal"/>
              <w:tabs>
                <w:tab w:val="clear" w:pos="720"/>
                <w:tab w:val="left" w:pos="1332" w:leader="none"/>
                <w:tab w:val="left" w:pos="1512" w:leader="none"/>
              </w:tabs>
              <w:rPr/>
            </w:pPr>
            <w:r>
              <w:rPr/>
            </w:r>
          </w:p>
        </w:tc>
      </w:tr>
      <w:tr>
        <w:trPr/>
        <w:tc>
          <w:tcPr>
            <w:tcW w:w="3708" w:type="dxa"/>
            <w:tcBorders/>
          </w:tcPr>
          <w:p>
            <w:pPr>
              <w:pStyle w:val="BodyText3"/>
              <w:numPr>
                <w:ilvl w:val="0"/>
                <w:numId w:val="3"/>
              </w:numPr>
              <w:tabs>
                <w:tab w:val="left" w:pos="360" w:leader="none"/>
                <w:tab w:val="left" w:pos="1332" w:leader="none"/>
                <w:tab w:val="left" w:pos="1512" w:leader="none"/>
              </w:tabs>
              <w:rPr>
                <w:sz w:val="24"/>
              </w:rPr>
            </w:pPr>
            <w:r>
              <w:rPr>
                <w:sz w:val="24"/>
              </w:rPr>
              <w:t>Financial Swap:</w:t>
            </w:r>
          </w:p>
        </w:tc>
        <w:tc>
          <w:tcPr>
            <w:tcW w:w="4932" w:type="dxa"/>
            <w:tcBorders/>
          </w:tcPr>
          <w:p>
            <w:pPr>
              <w:pStyle w:val="Normal"/>
              <w:tabs>
                <w:tab w:val="clear" w:pos="720"/>
                <w:tab w:val="left" w:pos="1332" w:leader="none"/>
                <w:tab w:val="left" w:pos="1512" w:leader="none"/>
              </w:tabs>
              <w:jc w:val="both"/>
              <w:rPr/>
            </w:pPr>
            <w:r>
              <w:rPr/>
              <w:t>ENA enters into a financially-settled swap with WeBco on Hot Rolled Steel for 2,000 NT/month for the eleven months from April 2001 through February 2002.</w:t>
            </w:r>
          </w:p>
          <w:p>
            <w:pPr>
              <w:pStyle w:val="Normal"/>
              <w:tabs>
                <w:tab w:val="clear" w:pos="720"/>
                <w:tab w:val="left" w:pos="1332" w:leader="none"/>
                <w:tab w:val="left" w:pos="1512" w:leader="none"/>
              </w:tabs>
              <w:jc w:val="both"/>
              <w:rPr/>
            </w:pPr>
            <w:r>
              <w:rPr/>
            </w:r>
          </w:p>
        </w:tc>
      </w:tr>
      <w:tr>
        <w:trPr/>
        <w:tc>
          <w:tcPr>
            <w:tcW w:w="3708" w:type="dxa"/>
            <w:tcBorders/>
          </w:tcPr>
          <w:p>
            <w:pPr>
              <w:pStyle w:val="BodyText3"/>
              <w:numPr>
                <w:ilvl w:val="0"/>
                <w:numId w:val="3"/>
              </w:numPr>
              <w:tabs>
                <w:tab w:val="left" w:pos="360" w:leader="none"/>
                <w:tab w:val="left" w:pos="1332" w:leader="none"/>
                <w:tab w:val="left" w:pos="1512" w:leader="none"/>
              </w:tabs>
              <w:rPr>
                <w:sz w:val="24"/>
              </w:rPr>
            </w:pPr>
            <w:r>
              <w:rPr>
                <w:sz w:val="24"/>
              </w:rPr>
              <w:t>Default Provisions:</w:t>
            </w:r>
          </w:p>
        </w:tc>
        <w:tc>
          <w:tcPr>
            <w:tcW w:w="4932" w:type="dxa"/>
            <w:tcBorders/>
          </w:tcPr>
          <w:p>
            <w:pPr>
              <w:pStyle w:val="Normal"/>
              <w:tabs>
                <w:tab w:val="clear" w:pos="720"/>
                <w:tab w:val="left" w:pos="1332" w:leader="none"/>
                <w:tab w:val="left" w:pos="1512" w:leader="none"/>
              </w:tabs>
              <w:jc w:val="both"/>
              <w:rPr/>
            </w:pPr>
            <w:r>
              <w:rPr/>
              <w:t>Remedies in the event Balli or WeBco fail to perform.</w:t>
            </w:r>
          </w:p>
          <w:p>
            <w:pPr>
              <w:pStyle w:val="Normal"/>
              <w:tabs>
                <w:tab w:val="clear" w:pos="720"/>
                <w:tab w:val="left" w:pos="1332" w:leader="none"/>
                <w:tab w:val="left" w:pos="1512" w:leader="none"/>
              </w:tabs>
              <w:rPr/>
            </w:pPr>
            <w:r>
              <w:rPr/>
            </w:r>
          </w:p>
        </w:tc>
      </w:tr>
    </w:tbl>
    <w:p>
      <w:pPr>
        <w:pStyle w:val="Normal"/>
        <w:rPr/>
      </w:pPr>
      <w:r>
        <w:rPr/>
      </w:r>
    </w:p>
    <w:p>
      <w:pPr>
        <w:pStyle w:val="Heading2"/>
        <w:ind w:hanging="0" w:start="0"/>
        <w:rPr/>
      </w:pPr>
      <w:r>
        <w:rPr/>
        <w:t>1. General Terms</w:t>
      </w:r>
    </w:p>
    <w:tbl>
      <w:tblPr>
        <w:tblW w:w="8640" w:type="dxa"/>
        <w:jc w:val="start"/>
        <w:tblInd w:w="0" w:type="dxa"/>
        <w:tblLayout w:type="fixed"/>
        <w:tblCellMar>
          <w:top w:w="0" w:type="dxa"/>
          <w:start w:w="108" w:type="dxa"/>
          <w:bottom w:w="0" w:type="dxa"/>
          <w:end w:w="108" w:type="dxa"/>
        </w:tblCellMar>
      </w:tblPr>
      <w:tblGrid>
        <w:gridCol w:w="2160"/>
        <w:gridCol w:w="6480"/>
      </w:tblGrid>
      <w:tr>
        <w:trPr/>
        <w:tc>
          <w:tcPr>
            <w:tcW w:w="2160" w:type="dxa"/>
            <w:tcBorders/>
          </w:tcPr>
          <w:p>
            <w:pPr>
              <w:pStyle w:val="Normal"/>
              <w:rPr/>
            </w:pPr>
            <w:r>
              <w:rPr/>
              <w:t xml:space="preserve"> “</w:t>
            </w:r>
            <w:r>
              <w:rPr/>
              <w:t>WeBco”:</w:t>
            </w:r>
          </w:p>
        </w:tc>
        <w:tc>
          <w:tcPr>
            <w:tcW w:w="6480" w:type="dxa"/>
            <w:tcBorders/>
          </w:tcPr>
          <w:p>
            <w:pPr>
              <w:pStyle w:val="Normal"/>
              <w:tabs>
                <w:tab w:val="clear" w:pos="720"/>
                <w:tab w:val="left" w:pos="1332" w:leader="none"/>
                <w:tab w:val="left" w:pos="1512" w:leader="none"/>
              </w:tabs>
              <w:rPr/>
            </w:pPr>
            <w:r>
              <w:rPr/>
              <w:t>WeBco International LLC</w:t>
            </w:r>
          </w:p>
          <w:p>
            <w:pPr>
              <w:pStyle w:val="Normal"/>
              <w:tabs>
                <w:tab w:val="clear" w:pos="720"/>
                <w:tab w:val="left" w:pos="1332" w:leader="none"/>
                <w:tab w:val="left" w:pos="1512" w:leader="none"/>
              </w:tabs>
              <w:rPr/>
            </w:pPr>
            <w:r>
              <w:rPr/>
              <w:t>500 Three Springs Drive</w:t>
            </w:r>
          </w:p>
          <w:p>
            <w:pPr>
              <w:pStyle w:val="Normal"/>
              <w:tabs>
                <w:tab w:val="clear" w:pos="720"/>
                <w:tab w:val="left" w:pos="1332" w:leader="none"/>
                <w:tab w:val="left" w:pos="1512" w:leader="none"/>
              </w:tabs>
              <w:rPr/>
            </w:pPr>
            <w:r>
              <w:rPr/>
              <w:t>Weirton, WV 26062</w:t>
            </w:r>
          </w:p>
          <w:p>
            <w:pPr>
              <w:pStyle w:val="Normal"/>
              <w:tabs>
                <w:tab w:val="clear" w:pos="720"/>
                <w:tab w:val="left" w:pos="1332" w:leader="none"/>
                <w:tab w:val="left" w:pos="1512" w:leader="none"/>
              </w:tabs>
              <w:rPr/>
            </w:pPr>
            <w:r>
              <w:rPr/>
              <w:t>T. W. Evans</w:t>
            </w:r>
          </w:p>
          <w:p>
            <w:pPr>
              <w:pStyle w:val="Normal"/>
              <w:tabs>
                <w:tab w:val="clear" w:pos="720"/>
                <w:tab w:val="left" w:pos="1332" w:leader="none"/>
                <w:tab w:val="left" w:pos="1512" w:leader="none"/>
              </w:tabs>
              <w:rPr/>
            </w:pPr>
            <w:r>
              <w:rPr/>
              <w:t>(voice) 304-797-2234</w:t>
            </w:r>
          </w:p>
          <w:p>
            <w:pPr>
              <w:pStyle w:val="Normal"/>
              <w:tabs>
                <w:tab w:val="clear" w:pos="720"/>
                <w:tab w:val="left" w:pos="1332" w:leader="none"/>
                <w:tab w:val="left" w:pos="1512" w:leader="none"/>
              </w:tabs>
              <w:rPr/>
            </w:pPr>
            <w:r>
              <w:rPr/>
              <w:t>(fax) 304-797-4699</w:t>
            </w:r>
          </w:p>
          <w:p>
            <w:pPr>
              <w:pStyle w:val="Normal"/>
              <w:tabs>
                <w:tab w:val="clear" w:pos="720"/>
                <w:tab w:val="left" w:pos="1332" w:leader="none"/>
                <w:tab w:val="left" w:pos="1512" w:leader="none"/>
              </w:tabs>
              <w:rPr/>
            </w:pPr>
            <w:hyperlink r:id="rId3">
              <w:r>
                <w:rPr>
                  <w:rStyle w:val="Hyperlink"/>
                </w:rPr>
                <w:t>tom.evans@weirton.com</w:t>
              </w:r>
            </w:hyperlink>
          </w:p>
          <w:p>
            <w:pPr>
              <w:pStyle w:val="Normal"/>
              <w:tabs>
                <w:tab w:val="clear" w:pos="720"/>
                <w:tab w:val="left" w:pos="1332" w:leader="none"/>
                <w:tab w:val="left" w:pos="1512" w:leader="none"/>
              </w:tabs>
              <w:rPr/>
            </w:pPr>
            <w:r>
              <w:rPr/>
            </w:r>
          </w:p>
        </w:tc>
      </w:tr>
      <w:tr>
        <w:trPr/>
        <w:tc>
          <w:tcPr>
            <w:tcW w:w="2160" w:type="dxa"/>
            <w:tcBorders/>
          </w:tcPr>
          <w:p>
            <w:pPr>
              <w:pStyle w:val="Normal"/>
              <w:rPr/>
            </w:pPr>
            <w:r>
              <w:rPr/>
              <w:t>Balli:</w:t>
            </w:r>
          </w:p>
        </w:tc>
        <w:tc>
          <w:tcPr>
            <w:tcW w:w="6480" w:type="dxa"/>
            <w:tcBorders/>
          </w:tcPr>
          <w:p>
            <w:pPr>
              <w:pStyle w:val="Normal"/>
              <w:tabs>
                <w:tab w:val="clear" w:pos="720"/>
                <w:tab w:val="left" w:pos="1332" w:leader="none"/>
                <w:tab w:val="left" w:pos="1512" w:leader="none"/>
              </w:tabs>
              <w:rPr/>
            </w:pPr>
            <w:r>
              <w:rPr/>
              <w:t>Balli Steel plc</w:t>
            </w:r>
          </w:p>
          <w:p>
            <w:pPr>
              <w:pStyle w:val="Normal"/>
              <w:tabs>
                <w:tab w:val="clear" w:pos="720"/>
                <w:tab w:val="left" w:pos="1332" w:leader="none"/>
                <w:tab w:val="left" w:pos="1512" w:leader="none"/>
              </w:tabs>
              <w:rPr/>
            </w:pPr>
            <w:r>
              <w:rPr/>
              <w:t>5 Stanhope Gate London, UK  W1Y 5LATel: +44 020 7306 2032Fax: +44 020 7491 9000</w:t>
            </w:r>
          </w:p>
          <w:p>
            <w:pPr>
              <w:pStyle w:val="Normal"/>
              <w:tabs>
                <w:tab w:val="clear" w:pos="720"/>
                <w:tab w:val="left" w:pos="1332" w:leader="none"/>
                <w:tab w:val="left" w:pos="1512" w:leader="none"/>
              </w:tabs>
              <w:rPr/>
            </w:pPr>
            <w:r>
              <w:rPr/>
            </w:r>
          </w:p>
        </w:tc>
      </w:tr>
      <w:tr>
        <w:trPr/>
        <w:tc>
          <w:tcPr>
            <w:tcW w:w="2160" w:type="dxa"/>
            <w:tcBorders/>
          </w:tcPr>
          <w:p>
            <w:pPr>
              <w:pStyle w:val="Normal"/>
              <w:rPr/>
            </w:pPr>
            <w:r>
              <w:rPr/>
              <w:t>ENA:</w:t>
            </w:r>
          </w:p>
        </w:tc>
        <w:tc>
          <w:tcPr>
            <w:tcW w:w="6480" w:type="dxa"/>
            <w:tcBorders/>
          </w:tcPr>
          <w:p>
            <w:pPr>
              <w:pStyle w:val="Normal"/>
              <w:tabs>
                <w:tab w:val="clear" w:pos="720"/>
                <w:tab w:val="left" w:pos="1332" w:leader="none"/>
                <w:tab w:val="left" w:pos="1512" w:leader="none"/>
              </w:tabs>
              <w:rPr/>
            </w:pPr>
            <w:r>
              <w:rPr/>
              <w:t>Enron North America</w:t>
            </w:r>
          </w:p>
          <w:p>
            <w:pPr>
              <w:pStyle w:val="Normal"/>
              <w:tabs>
                <w:tab w:val="clear" w:pos="720"/>
                <w:tab w:val="left" w:pos="1332" w:leader="none"/>
                <w:tab w:val="left" w:pos="1512" w:leader="none"/>
              </w:tabs>
              <w:rPr/>
            </w:pPr>
            <w:r>
              <w:rPr/>
              <w:t>1400 Smith Street</w:t>
            </w:r>
          </w:p>
          <w:p>
            <w:pPr>
              <w:pStyle w:val="Normal"/>
              <w:tabs>
                <w:tab w:val="clear" w:pos="720"/>
                <w:tab w:val="left" w:pos="1332" w:leader="none"/>
                <w:tab w:val="left" w:pos="1512" w:leader="none"/>
              </w:tabs>
              <w:rPr/>
            </w:pPr>
            <w:r>
              <w:rPr/>
              <w:t>Houston, Texas 77002</w:t>
            </w:r>
          </w:p>
          <w:p>
            <w:pPr>
              <w:pStyle w:val="Normal"/>
              <w:tabs>
                <w:tab w:val="clear" w:pos="720"/>
                <w:tab w:val="left" w:pos="1332" w:leader="none"/>
                <w:tab w:val="left" w:pos="1512" w:leader="none"/>
              </w:tabs>
              <w:rPr/>
            </w:pPr>
            <w:r>
              <w:rPr/>
              <w:t>Kevin O’Donnell</w:t>
            </w:r>
          </w:p>
          <w:p>
            <w:pPr>
              <w:pStyle w:val="Normal"/>
              <w:tabs>
                <w:tab w:val="clear" w:pos="720"/>
                <w:tab w:val="left" w:pos="1332" w:leader="none"/>
                <w:tab w:val="left" w:pos="1512" w:leader="none"/>
              </w:tabs>
              <w:rPr/>
            </w:pPr>
            <w:r>
              <w:rPr/>
              <w:t>(713) 345-3753</w:t>
            </w:r>
          </w:p>
          <w:p>
            <w:pPr>
              <w:pStyle w:val="Normal"/>
              <w:tabs>
                <w:tab w:val="clear" w:pos="720"/>
                <w:tab w:val="left" w:pos="1332" w:leader="none"/>
                <w:tab w:val="left" w:pos="1512" w:leader="none"/>
              </w:tabs>
              <w:rPr/>
            </w:pPr>
            <w:r>
              <w:rPr/>
              <w:t>(713) 646-8408</w:t>
            </w:r>
          </w:p>
          <w:p>
            <w:pPr>
              <w:pStyle w:val="Normal"/>
              <w:tabs>
                <w:tab w:val="clear" w:pos="720"/>
                <w:tab w:val="left" w:pos="1332" w:leader="none"/>
                <w:tab w:val="left" w:pos="1512" w:leader="none"/>
              </w:tabs>
              <w:rPr/>
            </w:pPr>
            <w:r>
              <w:rPr/>
              <w:t>kevin.o’donnell@enron.com</w:t>
            </w:r>
          </w:p>
          <w:p>
            <w:pPr>
              <w:pStyle w:val="Normal"/>
              <w:tabs>
                <w:tab w:val="clear" w:pos="720"/>
                <w:tab w:val="left" w:pos="1332" w:leader="none"/>
                <w:tab w:val="left" w:pos="1512" w:leader="none"/>
              </w:tabs>
              <w:rPr/>
            </w:pPr>
            <w:r>
              <w:rPr/>
            </w:r>
          </w:p>
        </w:tc>
      </w:tr>
      <w:tr>
        <w:trPr/>
        <w:tc>
          <w:tcPr>
            <w:tcW w:w="2160" w:type="dxa"/>
            <w:tcBorders/>
          </w:tcPr>
          <w:p>
            <w:pPr>
              <w:pStyle w:val="Normal"/>
              <w:rPr/>
            </w:pPr>
            <w:r>
              <w:rPr/>
              <w:t>Slab:</w:t>
            </w:r>
          </w:p>
        </w:tc>
        <w:tc>
          <w:tcPr>
            <w:tcW w:w="6480" w:type="dxa"/>
            <w:tcBorders/>
          </w:tcPr>
          <w:p>
            <w:pPr>
              <w:pStyle w:val="BodyText3"/>
              <w:rPr>
                <w:sz w:val="24"/>
              </w:rPr>
            </w:pPr>
            <w:r>
              <w:rPr>
                <w:sz w:val="24"/>
              </w:rPr>
              <w:t>Commercial Quality Steel Slab, up to 49.2" (specific chemistry and dimensions to be identified in Balli purchase orders).</w:t>
            </w:r>
          </w:p>
          <w:p>
            <w:pPr>
              <w:pStyle w:val="BodyText"/>
              <w:tabs>
                <w:tab w:val="clear" w:pos="720"/>
                <w:tab w:val="left" w:pos="1170" w:leader="none"/>
                <w:tab w:val="left" w:pos="1512" w:leader="none"/>
              </w:tabs>
              <w:spacing w:before="0" w:after="240"/>
              <w:rPr>
                <w:sz w:val="24"/>
              </w:rPr>
            </w:pPr>
            <w:r>
              <w:rPr>
                <w:sz w:val="24"/>
              </w:rPr>
            </w:r>
          </w:p>
        </w:tc>
      </w:tr>
      <w:tr>
        <w:trPr/>
        <w:tc>
          <w:tcPr>
            <w:tcW w:w="2160" w:type="dxa"/>
            <w:tcBorders/>
          </w:tcPr>
          <w:p>
            <w:pPr>
              <w:pStyle w:val="Normal"/>
              <w:rPr/>
            </w:pPr>
            <w:r>
              <w:rPr/>
              <w:t>Hot Rolled Steel:</w:t>
            </w:r>
          </w:p>
        </w:tc>
        <w:tc>
          <w:tcPr>
            <w:tcW w:w="6480" w:type="dxa"/>
            <w:tcBorders/>
          </w:tcPr>
          <w:p>
            <w:pPr>
              <w:pStyle w:val="Normal"/>
              <w:tabs>
                <w:tab w:val="clear" w:pos="720"/>
                <w:tab w:val="left" w:pos="1332" w:leader="none"/>
                <w:tab w:val="left" w:pos="1512" w:leader="none"/>
              </w:tabs>
              <w:rPr/>
            </w:pPr>
            <w:r>
              <w:rPr/>
              <w:t>Commercial ________________________.</w:t>
            </w:r>
          </w:p>
          <w:p>
            <w:pPr>
              <w:pStyle w:val="Normal"/>
              <w:tabs>
                <w:tab w:val="clear" w:pos="720"/>
                <w:tab w:val="left" w:pos="1332" w:leader="none"/>
                <w:tab w:val="left" w:pos="1512" w:leader="none"/>
              </w:tabs>
              <w:rPr/>
            </w:pPr>
            <w:r>
              <w:rPr/>
            </w:r>
          </w:p>
        </w:tc>
      </w:tr>
      <w:tr>
        <w:trPr/>
        <w:tc>
          <w:tcPr>
            <w:tcW w:w="2160" w:type="dxa"/>
            <w:tcBorders/>
          </w:tcPr>
          <w:p>
            <w:pPr>
              <w:pStyle w:val="Normal"/>
              <w:rPr/>
            </w:pPr>
            <w:r>
              <w:rPr/>
              <w:t>Ton, Net Ton:</w:t>
            </w:r>
          </w:p>
        </w:tc>
        <w:tc>
          <w:tcPr>
            <w:tcW w:w="6480" w:type="dxa"/>
            <w:tcBorders/>
          </w:tcPr>
          <w:p>
            <w:pPr>
              <w:pStyle w:val="Normal"/>
              <w:tabs>
                <w:tab w:val="clear" w:pos="720"/>
                <w:tab w:val="left" w:pos="1332" w:leader="none"/>
                <w:tab w:val="left" w:pos="1512" w:leader="none"/>
              </w:tabs>
              <w:rPr/>
            </w:pPr>
            <w:r>
              <w:rPr/>
              <w:t>The terms “Ton”, “Net Ton” and “NT” shall all refer to 2000 U.S. Pounds.</w:t>
            </w:r>
          </w:p>
          <w:p>
            <w:pPr>
              <w:pStyle w:val="Normal"/>
              <w:tabs>
                <w:tab w:val="clear" w:pos="720"/>
                <w:tab w:val="left" w:pos="1332" w:leader="none"/>
                <w:tab w:val="left" w:pos="1512" w:leader="none"/>
              </w:tabs>
              <w:rPr/>
            </w:pPr>
            <w:r>
              <w:rPr/>
            </w:r>
          </w:p>
        </w:tc>
      </w:tr>
      <w:tr>
        <w:trPr/>
        <w:tc>
          <w:tcPr>
            <w:tcW w:w="2160" w:type="dxa"/>
            <w:tcBorders/>
          </w:tcPr>
          <w:p>
            <w:pPr>
              <w:pStyle w:val="Normal"/>
              <w:rPr/>
            </w:pPr>
            <w:r>
              <w:rPr/>
              <w:t>Metric Ton:</w:t>
            </w:r>
          </w:p>
        </w:tc>
        <w:tc>
          <w:tcPr>
            <w:tcW w:w="6480" w:type="dxa"/>
            <w:tcBorders/>
          </w:tcPr>
          <w:p>
            <w:pPr>
              <w:pStyle w:val="Normal"/>
              <w:tabs>
                <w:tab w:val="clear" w:pos="720"/>
                <w:tab w:val="left" w:pos="1332" w:leader="none"/>
                <w:tab w:val="left" w:pos="1512" w:leader="none"/>
              </w:tabs>
              <w:rPr/>
            </w:pPr>
            <w:r>
              <w:rPr/>
              <w:t xml:space="preserve">The terms “Metric Ton” and “MT” shall refer to 2204.6 U.S. Pounds. </w:t>
            </w:r>
          </w:p>
          <w:p>
            <w:pPr>
              <w:pStyle w:val="Normal"/>
              <w:tabs>
                <w:tab w:val="clear" w:pos="720"/>
                <w:tab w:val="left" w:pos="1332" w:leader="none"/>
                <w:tab w:val="left" w:pos="1512" w:leader="none"/>
              </w:tabs>
              <w:rPr/>
            </w:pPr>
            <w:r>
              <w:rPr/>
            </w:r>
          </w:p>
        </w:tc>
      </w:tr>
      <w:tr>
        <w:trPr/>
        <w:tc>
          <w:tcPr>
            <w:tcW w:w="2160" w:type="dxa"/>
            <w:tcBorders/>
          </w:tcPr>
          <w:p>
            <w:pPr>
              <w:pStyle w:val="Normal"/>
              <w:rPr/>
            </w:pPr>
            <w:r>
              <w:rPr/>
              <w:t>Commodity Unit:</w:t>
            </w:r>
          </w:p>
        </w:tc>
        <w:tc>
          <w:tcPr>
            <w:tcW w:w="6480" w:type="dxa"/>
            <w:tcBorders/>
          </w:tcPr>
          <w:p>
            <w:pPr>
              <w:pStyle w:val="Normal"/>
              <w:tabs>
                <w:tab w:val="clear" w:pos="720"/>
                <w:tab w:val="left" w:pos="1332" w:leader="none"/>
              </w:tabs>
              <w:rPr/>
            </w:pPr>
            <w:r>
              <w:rPr/>
              <w:t>Ton</w:t>
            </w:r>
          </w:p>
          <w:p>
            <w:pPr>
              <w:pStyle w:val="Normal"/>
              <w:tabs>
                <w:tab w:val="clear" w:pos="720"/>
                <w:tab w:val="left" w:pos="1332" w:leader="none"/>
              </w:tabs>
              <w:rPr/>
            </w:pPr>
            <w:r>
              <w:rPr/>
            </w:r>
          </w:p>
        </w:tc>
      </w:tr>
    </w:tbl>
    <w:p>
      <w:pPr>
        <w:pStyle w:val="Normal"/>
        <w:rPr/>
      </w:pPr>
      <w:r>
        <w:rPr/>
      </w:r>
    </w:p>
    <w:p>
      <w:pPr>
        <w:pStyle w:val="Normal"/>
        <w:rPr/>
      </w:pPr>
      <w:r>
        <w:rPr/>
      </w:r>
    </w:p>
    <w:p>
      <w:pPr>
        <w:pStyle w:val="Heading2"/>
        <w:ind w:hanging="0" w:start="0"/>
        <w:rPr/>
      </w:pPr>
      <w:r>
        <w:rPr/>
        <w:t xml:space="preserve">2. ENA Purchases Slabs from Balli </w:t>
      </w:r>
    </w:p>
    <w:tbl>
      <w:tblPr>
        <w:tblW w:w="8640" w:type="dxa"/>
        <w:jc w:val="start"/>
        <w:tblInd w:w="0" w:type="dxa"/>
        <w:tblLayout w:type="fixed"/>
        <w:tblCellMar>
          <w:top w:w="0" w:type="dxa"/>
          <w:start w:w="108" w:type="dxa"/>
          <w:bottom w:w="0" w:type="dxa"/>
          <w:end w:w="108" w:type="dxa"/>
        </w:tblCellMar>
      </w:tblPr>
      <w:tblGrid>
        <w:gridCol w:w="2160"/>
        <w:gridCol w:w="6480"/>
      </w:tblGrid>
      <w:tr>
        <w:trPr/>
        <w:tc>
          <w:tcPr>
            <w:tcW w:w="2160" w:type="dxa"/>
            <w:tcBorders/>
          </w:tcPr>
          <w:p>
            <w:pPr>
              <w:pStyle w:val="Normal"/>
              <w:spacing w:before="120" w:after="0"/>
              <w:rPr/>
            </w:pPr>
            <w:r>
              <w:rPr/>
              <w:t>Buyer:</w:t>
            </w:r>
          </w:p>
        </w:tc>
        <w:tc>
          <w:tcPr>
            <w:tcW w:w="6480" w:type="dxa"/>
            <w:tcBorders/>
          </w:tcPr>
          <w:p>
            <w:pPr>
              <w:pStyle w:val="Normal"/>
              <w:tabs>
                <w:tab w:val="clear" w:pos="720"/>
                <w:tab w:val="left" w:pos="1332" w:leader="none"/>
                <w:tab w:val="left" w:pos="1512" w:leader="none"/>
              </w:tabs>
              <w:spacing w:before="120" w:after="0"/>
              <w:rPr/>
            </w:pPr>
            <w:r>
              <w:rPr/>
              <w:t>ENA</w:t>
            </w:r>
          </w:p>
          <w:p>
            <w:pPr>
              <w:pStyle w:val="Normal"/>
              <w:tabs>
                <w:tab w:val="clear" w:pos="720"/>
                <w:tab w:val="left" w:pos="1332" w:leader="none"/>
                <w:tab w:val="left" w:pos="1512" w:leader="none"/>
              </w:tabs>
              <w:rPr/>
            </w:pPr>
            <w:r>
              <w:rPr/>
            </w:r>
          </w:p>
        </w:tc>
      </w:tr>
      <w:tr>
        <w:trPr/>
        <w:tc>
          <w:tcPr>
            <w:tcW w:w="2160" w:type="dxa"/>
            <w:tcBorders/>
          </w:tcPr>
          <w:p>
            <w:pPr>
              <w:pStyle w:val="Normal"/>
              <w:spacing w:before="120" w:after="0"/>
              <w:rPr/>
            </w:pPr>
            <w:r>
              <w:rPr/>
              <w:t>Seller:</w:t>
            </w:r>
          </w:p>
        </w:tc>
        <w:tc>
          <w:tcPr>
            <w:tcW w:w="6480" w:type="dxa"/>
            <w:tcBorders/>
          </w:tcPr>
          <w:p>
            <w:pPr>
              <w:pStyle w:val="Normal"/>
              <w:tabs>
                <w:tab w:val="clear" w:pos="720"/>
                <w:tab w:val="left" w:pos="1332" w:leader="none"/>
                <w:tab w:val="left" w:pos="1512" w:leader="none"/>
              </w:tabs>
              <w:spacing w:before="120" w:after="0"/>
              <w:rPr/>
            </w:pPr>
            <w:r>
              <w:rPr/>
              <w:t xml:space="preserve">Balli </w:t>
            </w:r>
          </w:p>
          <w:p>
            <w:pPr>
              <w:pStyle w:val="Normal"/>
              <w:tabs>
                <w:tab w:val="clear" w:pos="720"/>
                <w:tab w:val="left" w:pos="1332" w:leader="none"/>
                <w:tab w:val="left" w:pos="1512" w:leader="none"/>
              </w:tabs>
              <w:rPr/>
            </w:pPr>
            <w:r>
              <w:rPr/>
            </w:r>
          </w:p>
        </w:tc>
      </w:tr>
      <w:tr>
        <w:trPr/>
        <w:tc>
          <w:tcPr>
            <w:tcW w:w="2160" w:type="dxa"/>
            <w:tcBorders/>
          </w:tcPr>
          <w:p>
            <w:pPr>
              <w:pStyle w:val="Normal"/>
              <w:spacing w:before="120" w:after="0"/>
              <w:rPr/>
            </w:pPr>
            <w:r>
              <w:rPr/>
              <w:t>Commodity:</w:t>
            </w:r>
          </w:p>
        </w:tc>
        <w:tc>
          <w:tcPr>
            <w:tcW w:w="6480" w:type="dxa"/>
            <w:tcBorders/>
          </w:tcPr>
          <w:p>
            <w:pPr>
              <w:pStyle w:val="BodyText3"/>
              <w:spacing w:before="120" w:after="0"/>
              <w:rPr>
                <w:sz w:val="24"/>
              </w:rPr>
            </w:pPr>
            <w:r>
              <w:rPr>
                <w:sz w:val="24"/>
              </w:rPr>
              <w:t>Commercial Quality Steel Slab, up to 49.2" (specific chemistry and dimensions to be identified in Balli purchase orders).</w:t>
            </w:r>
          </w:p>
          <w:p>
            <w:pPr>
              <w:pStyle w:val="Normal"/>
              <w:tabs>
                <w:tab w:val="clear" w:pos="720"/>
                <w:tab w:val="left" w:pos="1332" w:leader="none"/>
                <w:tab w:val="left" w:pos="1512" w:leader="none"/>
              </w:tabs>
              <w:rPr>
                <w:sz w:val="24"/>
              </w:rPr>
            </w:pPr>
            <w:r>
              <w:rPr>
                <w:sz w:val="24"/>
              </w:rPr>
            </w:r>
          </w:p>
        </w:tc>
      </w:tr>
      <w:tr>
        <w:trPr/>
        <w:tc>
          <w:tcPr>
            <w:tcW w:w="2160" w:type="dxa"/>
            <w:tcBorders/>
          </w:tcPr>
          <w:p>
            <w:pPr>
              <w:pStyle w:val="Normal"/>
              <w:spacing w:before="120" w:after="0"/>
              <w:rPr/>
            </w:pPr>
            <w:r>
              <w:rPr/>
              <w:t>Title Transfer:</w:t>
            </w:r>
          </w:p>
        </w:tc>
        <w:tc>
          <w:tcPr>
            <w:tcW w:w="6480" w:type="dxa"/>
            <w:tcBorders/>
          </w:tcPr>
          <w:p>
            <w:pPr>
              <w:pStyle w:val="BodyText3"/>
              <w:spacing w:before="120" w:after="0"/>
              <w:rPr>
                <w:sz w:val="24"/>
              </w:rPr>
            </w:pPr>
            <w:r>
              <w:rPr>
                <w:sz w:val="24"/>
              </w:rPr>
              <w:t>Title will transfer from Balli to ENA when the slab is properly loaded on the vessel at the port of shipment and funds are drawn on ENA’s documentary letter of credit for the benefit of Balli.</w:t>
            </w:r>
          </w:p>
          <w:p>
            <w:pPr>
              <w:pStyle w:val="BodyText3"/>
              <w:rPr>
                <w:sz w:val="24"/>
              </w:rPr>
            </w:pPr>
            <w:r>
              <w:rPr>
                <w:sz w:val="24"/>
              </w:rPr>
            </w:r>
          </w:p>
        </w:tc>
      </w:tr>
      <w:tr>
        <w:trPr/>
        <w:tc>
          <w:tcPr>
            <w:tcW w:w="2160" w:type="dxa"/>
            <w:tcBorders/>
          </w:tcPr>
          <w:p>
            <w:pPr>
              <w:pStyle w:val="Normal"/>
              <w:spacing w:before="120" w:after="0"/>
              <w:rPr/>
            </w:pPr>
            <w:r>
              <w:rPr/>
              <w:t>Purchase Price:</w:t>
            </w:r>
          </w:p>
        </w:tc>
        <w:tc>
          <w:tcPr>
            <w:tcW w:w="6480" w:type="dxa"/>
            <w:tcBorders/>
          </w:tcPr>
          <w:p>
            <w:pPr>
              <w:pStyle w:val="BodyText3"/>
              <w:spacing w:before="120" w:after="0"/>
              <w:rPr>
                <w:sz w:val="24"/>
              </w:rPr>
            </w:pPr>
            <w:r>
              <w:rPr>
                <w:sz w:val="24"/>
              </w:rPr>
              <w:t>The purchase price will be USD $180 per NT, custom cleared, duty paid F.O.B. Weirton, West Virginia.  Balli or WeBco shall be responsible for all costs of shipment and transport of the slab to Weirton, West Virginia, including, without limitation, all duties and customs.  WeBco shall be the importer of record.</w:t>
            </w:r>
          </w:p>
          <w:p>
            <w:pPr>
              <w:pStyle w:val="Normal"/>
              <w:tabs>
                <w:tab w:val="clear" w:pos="720"/>
                <w:tab w:val="left" w:pos="1332" w:leader="none"/>
                <w:tab w:val="left" w:pos="1512" w:leader="none"/>
              </w:tabs>
              <w:rPr>
                <w:sz w:val="24"/>
              </w:rPr>
            </w:pPr>
            <w:r>
              <w:rPr>
                <w:sz w:val="24"/>
              </w:rPr>
            </w:r>
          </w:p>
        </w:tc>
      </w:tr>
      <w:tr>
        <w:trPr/>
        <w:tc>
          <w:tcPr>
            <w:tcW w:w="2160" w:type="dxa"/>
            <w:tcBorders/>
          </w:tcPr>
          <w:p>
            <w:pPr>
              <w:pStyle w:val="Normal"/>
              <w:spacing w:before="120" w:after="0"/>
              <w:rPr/>
            </w:pPr>
            <w:r>
              <w:rPr/>
              <w:t>Delivery:</w:t>
            </w:r>
          </w:p>
        </w:tc>
        <w:tc>
          <w:tcPr>
            <w:tcW w:w="6480" w:type="dxa"/>
            <w:tcBorders/>
          </w:tcPr>
          <w:p>
            <w:pPr>
              <w:pStyle w:val="BodyText3"/>
              <w:spacing w:before="120" w:after="0"/>
              <w:rPr/>
            </w:pPr>
            <w:r>
              <w:rPr>
                <w:sz w:val="24"/>
              </w:rPr>
              <w:t xml:space="preserve">Commodity to be delivered </w:t>
            </w:r>
            <w:r>
              <w:rPr>
                <w:b/>
                <w:bCs/>
                <w:sz w:val="24"/>
              </w:rPr>
              <w:t xml:space="preserve"> </w:t>
            </w:r>
            <w:r>
              <w:rPr>
                <w:sz w:val="24"/>
              </w:rPr>
              <w:t>Novalog Terminal, Philadelphia, PA.</w:t>
            </w:r>
          </w:p>
          <w:p>
            <w:pPr>
              <w:pStyle w:val="Normal"/>
              <w:tabs>
                <w:tab w:val="clear" w:pos="720"/>
                <w:tab w:val="left" w:pos="1332" w:leader="none"/>
                <w:tab w:val="left" w:pos="1512" w:leader="none"/>
              </w:tabs>
              <w:rPr>
                <w:sz w:val="24"/>
              </w:rPr>
            </w:pPr>
            <w:r>
              <w:rPr>
                <w:sz w:val="24"/>
              </w:rPr>
            </w:r>
          </w:p>
        </w:tc>
      </w:tr>
      <w:tr>
        <w:trPr/>
        <w:tc>
          <w:tcPr>
            <w:tcW w:w="2160" w:type="dxa"/>
            <w:tcBorders/>
          </w:tcPr>
          <w:p>
            <w:pPr>
              <w:pStyle w:val="Normal"/>
              <w:spacing w:before="120" w:after="0"/>
              <w:rPr/>
            </w:pPr>
            <w:r>
              <w:rPr/>
              <w:t>Delivery Date and Contract Quantity:</w:t>
            </w:r>
          </w:p>
        </w:tc>
        <w:tc>
          <w:tcPr>
            <w:tcW w:w="6480" w:type="dxa"/>
            <w:tcBorders/>
          </w:tcPr>
          <w:p>
            <w:pPr>
              <w:pStyle w:val="Normal"/>
              <w:tabs>
                <w:tab w:val="clear" w:pos="720"/>
                <w:tab w:val="left" w:pos="1332" w:leader="none"/>
                <w:tab w:val="left" w:pos="1512" w:leader="none"/>
              </w:tabs>
              <w:rPr/>
            </w:pPr>
            <w:r>
              <w:rPr/>
              <w:t>Between March 2001 and May 2001, 110,000 NT.  Details of delivery shall be addressed in the definitive agreements.  The parties agree that the delivery amount may be plus or minus 10%.</w:t>
            </w:r>
          </w:p>
          <w:p>
            <w:pPr>
              <w:pStyle w:val="Normal"/>
              <w:tabs>
                <w:tab w:val="clear" w:pos="720"/>
                <w:tab w:val="left" w:pos="1332" w:leader="none"/>
                <w:tab w:val="left" w:pos="1512" w:leader="none"/>
              </w:tabs>
              <w:rPr/>
            </w:pPr>
            <w:r>
              <w:rPr/>
            </w:r>
          </w:p>
        </w:tc>
      </w:tr>
      <w:tr>
        <w:trPr/>
        <w:tc>
          <w:tcPr>
            <w:tcW w:w="2160" w:type="dxa"/>
            <w:tcBorders/>
          </w:tcPr>
          <w:p>
            <w:pPr>
              <w:pStyle w:val="Normal"/>
              <w:spacing w:before="120" w:after="0"/>
              <w:rPr/>
            </w:pPr>
            <w:r>
              <w:rPr/>
              <w:t>Invoicing:</w:t>
            </w:r>
          </w:p>
        </w:tc>
        <w:tc>
          <w:tcPr>
            <w:tcW w:w="6480" w:type="dxa"/>
            <w:tcBorders/>
          </w:tcPr>
          <w:p>
            <w:pPr>
              <w:pStyle w:val="BodyText3"/>
              <w:spacing w:before="120" w:after="0"/>
              <w:rPr>
                <w:sz w:val="24"/>
              </w:rPr>
            </w:pPr>
            <w:r>
              <w:rPr>
                <w:sz w:val="24"/>
              </w:rPr>
              <w:t>Invoiced amounts on declared bill of lading weight.</w:t>
            </w:r>
          </w:p>
          <w:p>
            <w:pPr>
              <w:pStyle w:val="BodyText3"/>
              <w:rPr>
                <w:sz w:val="24"/>
              </w:rPr>
            </w:pPr>
            <w:r>
              <w:rPr>
                <w:sz w:val="24"/>
              </w:rPr>
            </w:r>
          </w:p>
        </w:tc>
      </w:tr>
      <w:tr>
        <w:trPr/>
        <w:tc>
          <w:tcPr>
            <w:tcW w:w="2160" w:type="dxa"/>
            <w:tcBorders/>
          </w:tcPr>
          <w:p>
            <w:pPr>
              <w:pStyle w:val="Normal"/>
              <w:spacing w:before="120" w:after="0"/>
              <w:rPr/>
            </w:pPr>
            <w:r>
              <w:rPr/>
              <w:t>Payment Terms:</w:t>
            </w:r>
          </w:p>
        </w:tc>
        <w:tc>
          <w:tcPr>
            <w:tcW w:w="6480" w:type="dxa"/>
            <w:tcBorders/>
          </w:tcPr>
          <w:p>
            <w:pPr>
              <w:pStyle w:val="BodyText3"/>
              <w:spacing w:before="120" w:after="0"/>
              <w:rPr>
                <w:sz w:val="24"/>
              </w:rPr>
            </w:pPr>
            <w:r>
              <w:rPr>
                <w:sz w:val="24"/>
              </w:rPr>
              <w:t>ENA will pay for the slabs using a documentary letter of credit in favor of Balli. Specific documentation requirements to be determined in definitive agreements.</w:t>
            </w:r>
          </w:p>
          <w:p>
            <w:pPr>
              <w:pStyle w:val="Normal"/>
              <w:tabs>
                <w:tab w:val="clear" w:pos="720"/>
                <w:tab w:val="left" w:pos="1332" w:leader="none"/>
                <w:tab w:val="left" w:pos="1512" w:leader="none"/>
              </w:tabs>
              <w:rPr>
                <w:sz w:val="24"/>
              </w:rPr>
            </w:pPr>
            <w:r>
              <w:rPr>
                <w:sz w:val="24"/>
              </w:rPr>
            </w:r>
          </w:p>
        </w:tc>
      </w:tr>
    </w:tbl>
    <w:p>
      <w:pPr>
        <w:pStyle w:val="Heading2"/>
        <w:ind w:hanging="0" w:start="0"/>
        <w:rPr>
          <w:b w:val="false"/>
          <w:bCs/>
          <w:i w:val="false"/>
          <w:i w:val="false"/>
          <w:iCs/>
          <w:sz w:val="24"/>
        </w:rPr>
      </w:pPr>
      <w:r>
        <w:rPr>
          <w:b w:val="false"/>
          <w:bCs/>
          <w:i w:val="false"/>
          <w:iCs/>
          <w:sz w:val="24"/>
        </w:rPr>
      </w:r>
    </w:p>
    <w:p>
      <w:pPr>
        <w:pStyle w:val="Heading2"/>
        <w:ind w:hanging="0" w:start="0"/>
        <w:rPr/>
      </w:pPr>
      <w:r>
        <w:rPr/>
        <w:t>3. ENA Tolls Slab to Hot Rolled Steel and Sells Hot Rolled Steel to WeBco</w:t>
      </w:r>
    </w:p>
    <w:tbl>
      <w:tblPr>
        <w:tblW w:w="8640" w:type="dxa"/>
        <w:jc w:val="start"/>
        <w:tblInd w:w="0" w:type="dxa"/>
        <w:tblLayout w:type="fixed"/>
        <w:tblCellMar>
          <w:top w:w="0" w:type="dxa"/>
          <w:start w:w="108" w:type="dxa"/>
          <w:bottom w:w="0" w:type="dxa"/>
          <w:end w:w="108" w:type="dxa"/>
        </w:tblCellMar>
      </w:tblPr>
      <w:tblGrid>
        <w:gridCol w:w="2160"/>
        <w:gridCol w:w="6480"/>
      </w:tblGrid>
      <w:tr>
        <w:trPr/>
        <w:tc>
          <w:tcPr>
            <w:tcW w:w="2160" w:type="dxa"/>
            <w:tcBorders/>
          </w:tcPr>
          <w:p>
            <w:pPr>
              <w:pStyle w:val="Normal"/>
              <w:spacing w:before="120" w:after="0"/>
              <w:rPr/>
            </w:pPr>
            <w:r>
              <w:rPr/>
              <w:t>Seller:</w:t>
            </w:r>
          </w:p>
        </w:tc>
        <w:tc>
          <w:tcPr>
            <w:tcW w:w="6480" w:type="dxa"/>
            <w:tcBorders/>
          </w:tcPr>
          <w:p>
            <w:pPr>
              <w:pStyle w:val="Normal"/>
              <w:tabs>
                <w:tab w:val="clear" w:pos="720"/>
                <w:tab w:val="left" w:pos="1332" w:leader="none"/>
                <w:tab w:val="left" w:pos="1512" w:leader="none"/>
              </w:tabs>
              <w:spacing w:before="120" w:after="0"/>
              <w:rPr/>
            </w:pPr>
            <w:r>
              <w:rPr/>
              <w:t>ENA</w:t>
            </w:r>
          </w:p>
          <w:p>
            <w:pPr>
              <w:pStyle w:val="Normal"/>
              <w:tabs>
                <w:tab w:val="clear" w:pos="720"/>
                <w:tab w:val="left" w:pos="1332" w:leader="none"/>
                <w:tab w:val="left" w:pos="1512" w:leader="none"/>
              </w:tabs>
              <w:spacing w:before="120" w:after="0"/>
              <w:rPr/>
            </w:pPr>
            <w:r>
              <w:rPr/>
            </w:r>
          </w:p>
        </w:tc>
      </w:tr>
      <w:tr>
        <w:trPr/>
        <w:tc>
          <w:tcPr>
            <w:tcW w:w="2160" w:type="dxa"/>
            <w:tcBorders/>
          </w:tcPr>
          <w:p>
            <w:pPr>
              <w:pStyle w:val="Normal"/>
              <w:spacing w:before="120" w:after="0"/>
              <w:rPr/>
            </w:pPr>
            <w:r>
              <w:rPr/>
              <w:t>Buyer:</w:t>
            </w:r>
          </w:p>
        </w:tc>
        <w:tc>
          <w:tcPr>
            <w:tcW w:w="6480" w:type="dxa"/>
            <w:tcBorders/>
          </w:tcPr>
          <w:p>
            <w:pPr>
              <w:pStyle w:val="Normal"/>
              <w:tabs>
                <w:tab w:val="clear" w:pos="720"/>
                <w:tab w:val="left" w:pos="1332" w:leader="none"/>
                <w:tab w:val="left" w:pos="1512" w:leader="none"/>
              </w:tabs>
              <w:spacing w:before="120" w:after="0"/>
              <w:rPr/>
            </w:pPr>
            <w:r>
              <w:rPr/>
              <w:t xml:space="preserve">WeBco </w:t>
            </w:r>
          </w:p>
          <w:p>
            <w:pPr>
              <w:pStyle w:val="Normal"/>
              <w:tabs>
                <w:tab w:val="clear" w:pos="720"/>
                <w:tab w:val="left" w:pos="1332" w:leader="none"/>
                <w:tab w:val="left" w:pos="1512" w:leader="none"/>
              </w:tabs>
              <w:spacing w:before="120" w:after="0"/>
              <w:rPr/>
            </w:pPr>
            <w:r>
              <w:rPr/>
            </w:r>
          </w:p>
        </w:tc>
      </w:tr>
      <w:tr>
        <w:trPr/>
        <w:tc>
          <w:tcPr>
            <w:tcW w:w="2160" w:type="dxa"/>
            <w:tcBorders/>
          </w:tcPr>
          <w:p>
            <w:pPr>
              <w:pStyle w:val="Normal"/>
              <w:spacing w:before="120" w:after="0"/>
              <w:rPr/>
            </w:pPr>
            <w:r>
              <w:rPr/>
              <w:t>Commodity:</w:t>
            </w:r>
          </w:p>
        </w:tc>
        <w:tc>
          <w:tcPr>
            <w:tcW w:w="6480" w:type="dxa"/>
            <w:tcBorders/>
          </w:tcPr>
          <w:p>
            <w:pPr>
              <w:pStyle w:val="BodyText3"/>
              <w:spacing w:before="120" w:after="0"/>
              <w:rPr>
                <w:sz w:val="24"/>
              </w:rPr>
            </w:pPr>
            <w:r>
              <w:rPr>
                <w:sz w:val="24"/>
              </w:rPr>
              <w:t xml:space="preserve">Hot Rolled Steel converted from slabs.  Note that ENA will have the right to replace the slabs purchased from Balli with slabs of equivalent Commercial Quality specifications, subject to mutual agreement between WeBco and ENA. </w:t>
            </w:r>
          </w:p>
          <w:p>
            <w:pPr>
              <w:pStyle w:val="Normal"/>
              <w:tabs>
                <w:tab w:val="clear" w:pos="720"/>
                <w:tab w:val="left" w:pos="1332" w:leader="none"/>
                <w:tab w:val="left" w:pos="1512" w:leader="none"/>
              </w:tabs>
              <w:spacing w:before="120" w:after="0"/>
              <w:rPr>
                <w:sz w:val="24"/>
              </w:rPr>
            </w:pPr>
            <w:r>
              <w:rPr>
                <w:sz w:val="24"/>
              </w:rPr>
            </w:r>
          </w:p>
        </w:tc>
      </w:tr>
      <w:tr>
        <w:trPr/>
        <w:tc>
          <w:tcPr>
            <w:tcW w:w="2160" w:type="dxa"/>
            <w:tcBorders/>
          </w:tcPr>
          <w:p>
            <w:pPr>
              <w:pStyle w:val="Normal"/>
              <w:spacing w:before="120" w:after="0"/>
              <w:rPr/>
            </w:pPr>
            <w:r>
              <w:rPr/>
              <w:t>Conversion:</w:t>
            </w:r>
          </w:p>
        </w:tc>
        <w:tc>
          <w:tcPr>
            <w:tcW w:w="6480" w:type="dxa"/>
            <w:tcBorders/>
          </w:tcPr>
          <w:p>
            <w:pPr>
              <w:pStyle w:val="BodyText3"/>
              <w:spacing w:before="120" w:after="0"/>
              <w:rPr>
                <w:sz w:val="24"/>
              </w:rPr>
            </w:pPr>
            <w:r>
              <w:rPr>
                <w:sz w:val="24"/>
              </w:rPr>
              <w:t>ENA will toll the slabs into Hot Rolled Steel for WeBco pursuant to and utilizing WeBco’s tolling agreement with Weirton.  ENA’s obligation to deliver Hot Rolled Steel to WeBco shall be reduced (i) to the extent slab is not delivered, for any reason, to Enron by Balli at the Novalog terminal (including force majeure events); (ii) to account for any yield loss during conversion; and (iii) to the extent conversion capacity is not available at Weirton Steel, Weirton, West Virginia.</w:t>
            </w:r>
          </w:p>
        </w:tc>
      </w:tr>
      <w:tr>
        <w:trPr/>
        <w:tc>
          <w:tcPr>
            <w:tcW w:w="2160" w:type="dxa"/>
            <w:tcBorders/>
          </w:tcPr>
          <w:p>
            <w:pPr>
              <w:pStyle w:val="Normal"/>
              <w:spacing w:before="120" w:after="0"/>
              <w:rPr/>
            </w:pPr>
            <w:r>
              <w:rPr/>
              <w:t>Title Transfer and</w:t>
              <w:br/>
              <w:t>Risk of Loss:</w:t>
            </w:r>
          </w:p>
        </w:tc>
        <w:tc>
          <w:tcPr>
            <w:tcW w:w="6480" w:type="dxa"/>
            <w:tcBorders/>
          </w:tcPr>
          <w:p>
            <w:pPr>
              <w:pStyle w:val="BodyText3"/>
              <w:spacing w:before="120" w:after="0"/>
              <w:rPr>
                <w:sz w:val="24"/>
              </w:rPr>
            </w:pPr>
            <w:r>
              <w:rPr>
                <w:sz w:val="24"/>
              </w:rPr>
              <w:t xml:space="preserve">Title will transfer from ENA to WeBco upon ENA’s receipt of bill of lading or invoice issued releasing material for shipment to WeBco’s customer.  Risk of loss to the slab will pass to WeBco at Novalog.  </w:t>
            </w:r>
          </w:p>
          <w:p>
            <w:pPr>
              <w:pStyle w:val="BodyText3"/>
              <w:spacing w:before="120" w:after="0"/>
              <w:rPr>
                <w:sz w:val="24"/>
              </w:rPr>
            </w:pPr>
            <w:r>
              <w:rPr>
                <w:sz w:val="24"/>
              </w:rPr>
            </w:r>
          </w:p>
        </w:tc>
      </w:tr>
      <w:tr>
        <w:trPr/>
        <w:tc>
          <w:tcPr>
            <w:tcW w:w="2160" w:type="dxa"/>
            <w:tcBorders/>
          </w:tcPr>
          <w:p>
            <w:pPr>
              <w:pStyle w:val="Normal"/>
              <w:spacing w:before="120" w:after="0"/>
              <w:rPr/>
            </w:pPr>
            <w:r>
              <w:rPr/>
              <w:t>Sales Price:</w:t>
            </w:r>
          </w:p>
        </w:tc>
        <w:tc>
          <w:tcPr>
            <w:tcW w:w="6480" w:type="dxa"/>
            <w:tcBorders/>
          </w:tcPr>
          <w:p>
            <w:pPr>
              <w:pStyle w:val="BodyText3"/>
              <w:spacing w:before="120" w:after="0"/>
              <w:rPr>
                <w:sz w:val="24"/>
              </w:rPr>
            </w:pPr>
            <w:r>
              <w:rPr>
                <w:sz w:val="24"/>
              </w:rPr>
              <w:t>The sales price is the sum of A, B, C and D.</w:t>
            </w:r>
          </w:p>
          <w:p>
            <w:pPr>
              <w:pStyle w:val="BodyText3"/>
              <w:spacing w:before="120" w:after="0"/>
              <w:rPr>
                <w:sz w:val="24"/>
              </w:rPr>
            </w:pPr>
            <w:r>
              <w:rPr>
                <w:sz w:val="24"/>
              </w:rPr>
            </w:r>
          </w:p>
          <w:p>
            <w:pPr>
              <w:pStyle w:val="BodyText3"/>
              <w:numPr>
                <w:ilvl w:val="0"/>
                <w:numId w:val="4"/>
              </w:numPr>
              <w:spacing w:before="120" w:after="0"/>
              <w:rPr>
                <w:sz w:val="24"/>
              </w:rPr>
            </w:pPr>
            <w:r>
              <w:rPr>
                <w:sz w:val="24"/>
              </w:rPr>
              <w:t xml:space="preserve">An amount equal to the product of $180 per NT, and the Contract Quantity described in </w:t>
            </w:r>
            <w:r>
              <w:rPr>
                <w:sz w:val="24"/>
                <w:u w:val="single"/>
              </w:rPr>
              <w:t>Section 2</w:t>
            </w:r>
            <w:r>
              <w:rPr>
                <w:sz w:val="24"/>
              </w:rPr>
              <w:t xml:space="preserve"> above, regardless of actual weight of Hot Rolled Steel delivered by ENA, plus any costs and expenses that are paid by ENA relevant to this transaction.</w:t>
            </w:r>
          </w:p>
          <w:p>
            <w:pPr>
              <w:pStyle w:val="BodyText3"/>
              <w:numPr>
                <w:ilvl w:val="0"/>
                <w:numId w:val="4"/>
              </w:numPr>
              <w:spacing w:before="120" w:after="0"/>
              <w:rPr>
                <w:sz w:val="24"/>
              </w:rPr>
            </w:pPr>
            <w:r>
              <w:rPr>
                <w:sz w:val="24"/>
              </w:rPr>
              <w:t>An amount equal to the product of the volume of  hot rolled steel not covered by the Financial Swap and 1½% of the Floating Price (defined herein).  Provided, however, that the amount payable pursuant to this Section B shall be reduced by any amount allocable to any volume of hot rolled steel made subject to any financial swap hereafter entered into by the parties.</w:t>
            </w:r>
          </w:p>
          <w:p>
            <w:pPr>
              <w:pStyle w:val="BodyText3"/>
              <w:numPr>
                <w:ilvl w:val="0"/>
                <w:numId w:val="4"/>
              </w:numPr>
              <w:spacing w:before="120" w:after="0"/>
              <w:rPr>
                <w:sz w:val="24"/>
              </w:rPr>
            </w:pPr>
            <w:r>
              <w:rPr>
                <w:sz w:val="24"/>
              </w:rPr>
              <w:t>An amount equal to the product of $50 per NT and the quantity of Hot Rolled Steel as determined per WeBco’s customer invoice or bill of lading.</w:t>
            </w:r>
          </w:p>
          <w:p>
            <w:pPr>
              <w:pStyle w:val="BodyText3"/>
              <w:numPr>
                <w:ilvl w:val="0"/>
                <w:numId w:val="4"/>
              </w:numPr>
              <w:spacing w:before="120" w:after="0"/>
              <w:rPr>
                <w:sz w:val="24"/>
              </w:rPr>
            </w:pPr>
            <w:r>
              <w:rPr>
                <w:sz w:val="24"/>
              </w:rPr>
              <w:t xml:space="preserve">Premium equal to a cost of financing charge applied to the price described in A and C above, calculated from the date the respective Letter of Credit is drawn until WeBco pays ENA in full. The cost of financing rate is the One Month LIBOR, as quoted in </w:t>
            </w:r>
            <w:r>
              <w:rPr>
                <w:i/>
                <w:iCs/>
                <w:sz w:val="24"/>
              </w:rPr>
              <w:t>The Wall Street Journal</w:t>
            </w:r>
            <w:r>
              <w:rPr>
                <w:sz w:val="24"/>
              </w:rPr>
              <w:t xml:space="preserve">, plus 330 basis points. </w:t>
            </w:r>
          </w:p>
          <w:p>
            <w:pPr>
              <w:pStyle w:val="BodyText3"/>
              <w:spacing w:before="120" w:after="0"/>
              <w:ind w:hanging="360" w:start="360" w:end="0"/>
              <w:rPr>
                <w:sz w:val="24"/>
              </w:rPr>
            </w:pPr>
            <w:r>
              <w:rPr>
                <w:sz w:val="24"/>
              </w:rPr>
            </w:r>
          </w:p>
        </w:tc>
      </w:tr>
      <w:tr>
        <w:trPr/>
        <w:tc>
          <w:tcPr>
            <w:tcW w:w="2160" w:type="dxa"/>
            <w:tcBorders/>
          </w:tcPr>
          <w:p>
            <w:pPr>
              <w:pStyle w:val="Normal"/>
              <w:spacing w:before="120" w:after="0"/>
              <w:rPr/>
            </w:pPr>
            <w:r>
              <w:rPr/>
              <w:t>Draw-Down Quantity (s):</w:t>
            </w:r>
          </w:p>
        </w:tc>
        <w:tc>
          <w:tcPr>
            <w:tcW w:w="6480" w:type="dxa"/>
            <w:tcBorders/>
          </w:tcPr>
          <w:p>
            <w:pPr>
              <w:pStyle w:val="Normal"/>
              <w:tabs>
                <w:tab w:val="clear" w:pos="720"/>
                <w:tab w:val="left" w:pos="1332" w:leader="none"/>
                <w:tab w:val="left" w:pos="1512" w:leader="none"/>
              </w:tabs>
              <w:spacing w:before="120" w:after="0"/>
              <w:rPr/>
            </w:pPr>
            <w:r>
              <w:rPr/>
              <w:t xml:space="preserve">WeBco intends to draw-down slab at a rate of 10,000 NT/month (“Intended Draw-Down Schedule”) with a guaranteed minimum rate of 5000 NT/month and a maximum of 10,000 NT/month, for shipment to Weirton. This declaration must be made 7 days prior to month of delivery.  ENA shall then notify </w:t>
            </w:r>
            <w:r>
              <w:rPr>
                <w:b/>
                <w:bCs/>
              </w:rPr>
              <w:t>[Novalog Bucks County, Inc.]</w:t>
            </w:r>
            <w:r>
              <w:rPr/>
              <w:t xml:space="preserve"> to release such quantities for shipment to Weirton.  In the event that WeBco does not purchase 10,000 NT in any given month, WeBco will reschedule the shortfall for purchase within sixty (60) days of the shipment date for such month.  Quantities to be drawn can be increased by mutual agreement of WeBco and ENA.</w:t>
            </w:r>
          </w:p>
          <w:p>
            <w:pPr>
              <w:pStyle w:val="Normal"/>
              <w:tabs>
                <w:tab w:val="clear" w:pos="720"/>
                <w:tab w:val="left" w:pos="1332" w:leader="none"/>
                <w:tab w:val="left" w:pos="1512" w:leader="none"/>
              </w:tabs>
              <w:spacing w:before="120" w:after="0"/>
              <w:rPr/>
            </w:pPr>
            <w:r>
              <w:rPr/>
            </w:r>
          </w:p>
        </w:tc>
      </w:tr>
      <w:tr>
        <w:trPr/>
        <w:tc>
          <w:tcPr>
            <w:tcW w:w="2160" w:type="dxa"/>
            <w:tcBorders/>
          </w:tcPr>
          <w:p>
            <w:pPr>
              <w:pStyle w:val="Normal"/>
              <w:spacing w:before="120" w:after="0"/>
              <w:rPr/>
            </w:pPr>
            <w:r>
              <w:rPr/>
              <w:t>Delivery:</w:t>
            </w:r>
          </w:p>
        </w:tc>
        <w:tc>
          <w:tcPr>
            <w:tcW w:w="6480" w:type="dxa"/>
            <w:tcBorders/>
          </w:tcPr>
          <w:p>
            <w:pPr>
              <w:pStyle w:val="Normal"/>
              <w:tabs>
                <w:tab w:val="clear" w:pos="720"/>
                <w:tab w:val="left" w:pos="1332" w:leader="none"/>
                <w:tab w:val="left" w:pos="1512" w:leader="none"/>
              </w:tabs>
              <w:spacing w:before="120" w:after="0"/>
              <w:jc w:val="both"/>
              <w:rPr/>
            </w:pPr>
            <w:r>
              <w:rPr/>
              <w:t xml:space="preserve">Each month WeBco shall remove from the Novalog terminal and cause to be transported to Weirton Steel, Weirton, West Virginia (using WeBco’s rail car transportation agreements) the quantity of slab shown in the Intended Draw-Down Schedule for that month, or as otherwise mutually agreed by WeBco and ENA.  The costs associated with removing the slab from the terminal and transporting the slab to Weirton shall be borne by WeBco.  </w:t>
            </w:r>
          </w:p>
          <w:p>
            <w:pPr>
              <w:pStyle w:val="Normal"/>
              <w:tabs>
                <w:tab w:val="clear" w:pos="720"/>
                <w:tab w:val="left" w:pos="1332" w:leader="none"/>
                <w:tab w:val="left" w:pos="1512" w:leader="none"/>
              </w:tabs>
              <w:spacing w:before="120" w:after="0"/>
              <w:jc w:val="both"/>
              <w:rPr/>
            </w:pPr>
            <w:r>
              <w:rPr/>
            </w:r>
          </w:p>
        </w:tc>
      </w:tr>
      <w:tr>
        <w:trPr/>
        <w:tc>
          <w:tcPr>
            <w:tcW w:w="2160" w:type="dxa"/>
            <w:tcBorders/>
          </w:tcPr>
          <w:p>
            <w:pPr>
              <w:pStyle w:val="Normal"/>
              <w:spacing w:before="120" w:after="0"/>
              <w:rPr/>
            </w:pPr>
            <w:r>
              <w:rPr/>
              <w:t>Invoicing and Payments:</w:t>
            </w:r>
          </w:p>
        </w:tc>
        <w:tc>
          <w:tcPr>
            <w:tcW w:w="6480" w:type="dxa"/>
            <w:tcBorders/>
          </w:tcPr>
          <w:p>
            <w:pPr>
              <w:pStyle w:val="Normal"/>
              <w:tabs>
                <w:tab w:val="clear" w:pos="720"/>
                <w:tab w:val="left" w:pos="1332" w:leader="none"/>
                <w:tab w:val="left" w:pos="1512" w:leader="none"/>
              </w:tabs>
              <w:spacing w:before="120" w:after="0"/>
              <w:jc w:val="both"/>
              <w:rPr/>
            </w:pPr>
            <w:r>
              <w:rPr/>
              <w:t>Invoiced amounts based on declared bill of lading weight.  Payment of the cost of conversion due by WeBco to Weirton shall be paid by WeBco’s drawing on a documentary letter of credit in favor of WeBco.  Amounts so drawn by WeBco shall be refunded by WeBco to ENA as a part of the Sales Price, as specified above.  Specific documentation requirements shall be WeBco’s customer invoice or bill of lading.</w:t>
            </w:r>
          </w:p>
          <w:p>
            <w:pPr>
              <w:pStyle w:val="Normal"/>
              <w:tabs>
                <w:tab w:val="clear" w:pos="720"/>
                <w:tab w:val="left" w:pos="1332" w:leader="none"/>
                <w:tab w:val="left" w:pos="1512" w:leader="none"/>
              </w:tabs>
              <w:spacing w:before="120" w:after="0"/>
              <w:rPr/>
            </w:pPr>
            <w:r>
              <w:rPr/>
            </w:r>
          </w:p>
        </w:tc>
      </w:tr>
      <w:tr>
        <w:trPr/>
        <w:tc>
          <w:tcPr>
            <w:tcW w:w="2160" w:type="dxa"/>
            <w:tcBorders/>
          </w:tcPr>
          <w:p>
            <w:pPr>
              <w:pStyle w:val="Normal"/>
              <w:spacing w:before="120" w:after="0"/>
              <w:rPr/>
            </w:pPr>
            <w:r>
              <w:rPr/>
              <w:t>Payment Terms:</w:t>
            </w:r>
          </w:p>
        </w:tc>
        <w:tc>
          <w:tcPr>
            <w:tcW w:w="6480" w:type="dxa"/>
            <w:tcBorders/>
          </w:tcPr>
          <w:p>
            <w:pPr>
              <w:pStyle w:val="Normal"/>
              <w:spacing w:before="120" w:after="0"/>
              <w:jc w:val="both"/>
              <w:rPr/>
            </w:pPr>
            <w:r>
              <w:rPr/>
              <w:t>Net cash for each shipment is due immediately after the receivables generated from WeBco’s sale of Hot Rolled Steel produced from the slab are paid, but in no event later than 120 days from the slab’s arrival at Weirton.  The payment price shall be paid by WeBco’s depositing or causing to be deposited all cash generated from its receivables into a lockbox.  Application of lockbox funds to be determined in definitive agreements.</w:t>
            </w:r>
          </w:p>
          <w:p>
            <w:pPr>
              <w:pStyle w:val="Normal"/>
              <w:tabs>
                <w:tab w:val="clear" w:pos="720"/>
                <w:tab w:val="left" w:pos="1332" w:leader="none"/>
                <w:tab w:val="left" w:pos="1512" w:leader="none"/>
              </w:tabs>
              <w:spacing w:before="120" w:after="0"/>
              <w:jc w:val="both"/>
              <w:rPr/>
            </w:pPr>
            <w:r>
              <w:rPr/>
            </w:r>
          </w:p>
        </w:tc>
      </w:tr>
      <w:tr>
        <w:trPr/>
        <w:tc>
          <w:tcPr>
            <w:tcW w:w="2160" w:type="dxa"/>
            <w:tcBorders/>
          </w:tcPr>
          <w:p>
            <w:pPr>
              <w:pStyle w:val="Normal"/>
              <w:spacing w:before="120" w:after="0"/>
              <w:rPr/>
            </w:pPr>
            <w:r>
              <w:rPr/>
              <w:t>WeBco Receivables:</w:t>
            </w:r>
          </w:p>
        </w:tc>
        <w:tc>
          <w:tcPr>
            <w:tcW w:w="6480" w:type="dxa"/>
            <w:tcBorders/>
          </w:tcPr>
          <w:p>
            <w:pPr>
              <w:pStyle w:val="Normal"/>
              <w:tabs>
                <w:tab w:val="clear" w:pos="720"/>
                <w:tab w:val="left" w:pos="1332" w:leader="none"/>
                <w:tab w:val="left" w:pos="1512" w:leader="none"/>
              </w:tabs>
              <w:spacing w:before="120" w:after="0"/>
              <w:jc w:val="both"/>
              <w:rPr/>
            </w:pPr>
            <w:r>
              <w:rPr/>
              <w:t>WeBco will pledge, directly to ENA, the receivables generated from sales of material produced from the 110,000 tons of slab referenced in this transaction.  Those receivables shall be deposited into an ENA controlled “lock-box.”  The lockbox funds shall be distributed to the parties in a predetermined manner.</w:t>
            </w:r>
          </w:p>
        </w:tc>
      </w:tr>
      <w:tr>
        <w:trPr/>
        <w:tc>
          <w:tcPr>
            <w:tcW w:w="2160" w:type="dxa"/>
            <w:tcBorders/>
          </w:tcPr>
          <w:p>
            <w:pPr>
              <w:pStyle w:val="Normal"/>
              <w:spacing w:before="120" w:after="0"/>
              <w:rPr/>
            </w:pPr>
            <w:r>
              <w:rPr/>
              <w:t>Assignment:</w:t>
            </w:r>
          </w:p>
        </w:tc>
        <w:tc>
          <w:tcPr>
            <w:tcW w:w="6480" w:type="dxa"/>
            <w:tcBorders/>
          </w:tcPr>
          <w:p>
            <w:pPr>
              <w:pStyle w:val="Normal"/>
              <w:tabs>
                <w:tab w:val="clear" w:pos="720"/>
                <w:tab w:val="left" w:pos="1332" w:leader="none"/>
                <w:tab w:val="left" w:pos="1512" w:leader="none"/>
              </w:tabs>
              <w:spacing w:before="120" w:after="0"/>
              <w:jc w:val="both"/>
              <w:rPr/>
            </w:pPr>
            <w:r>
              <w:rPr/>
              <w:t xml:space="preserve">At no cost to ENA, WeBco will assign its rights at Novalog to ENA to permit ENA to deliver, store, and remove slab at the Novalog terminal.  WeBco will covenant to maintain to keep this agreement in place through the term of this arrangement.  </w:t>
            </w:r>
          </w:p>
        </w:tc>
      </w:tr>
    </w:tbl>
    <w:p>
      <w:pPr>
        <w:pStyle w:val="Heading2"/>
        <w:ind w:hanging="0" w:start="0"/>
        <w:rPr>
          <w:sz w:val="24"/>
          <w:u w:val="single"/>
        </w:rPr>
      </w:pPr>
      <w:r>
        <w:rPr>
          <w:sz w:val="24"/>
          <w:u w:val="single"/>
        </w:rPr>
      </w:r>
    </w:p>
    <w:p>
      <w:pPr>
        <w:pStyle w:val="Heading2"/>
        <w:ind w:hanging="0" w:start="0"/>
        <w:rPr>
          <w:i w:val="false"/>
          <w:i w:val="false"/>
          <w:iCs/>
          <w:sz w:val="24"/>
          <w:u w:val="single"/>
        </w:rPr>
      </w:pPr>
      <w:r>
        <w:rPr>
          <w:i w:val="false"/>
          <w:iCs/>
          <w:sz w:val="24"/>
          <w:u w:val="single"/>
        </w:rPr>
        <w:t>4. Financial Swap</w:t>
      </w:r>
    </w:p>
    <w:p>
      <w:pPr>
        <w:pStyle w:val="Normal"/>
        <w:rPr>
          <w:i/>
          <w:i/>
          <w:iCs/>
          <w:sz w:val="24"/>
          <w:u w:val="single"/>
        </w:rPr>
      </w:pPr>
      <w:r>
        <w:rPr>
          <w:i/>
          <w:iCs/>
          <w:sz w:val="24"/>
          <w:u w:val="single"/>
        </w:rPr>
      </w:r>
    </w:p>
    <w:p>
      <w:pPr>
        <w:pStyle w:val="Normal"/>
        <w:rPr/>
      </w:pPr>
      <w:r>
        <w:rPr/>
        <w:t>Fixed Price</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pacing w:before="120" w:after="0"/>
              <w:rPr/>
            </w:pPr>
            <w:r>
              <w:rPr/>
              <w:t>Total Quantity:</w:t>
            </w:r>
          </w:p>
        </w:tc>
        <w:tc>
          <w:tcPr>
            <w:tcW w:w="4428" w:type="dxa"/>
            <w:tcBorders/>
          </w:tcPr>
          <w:p>
            <w:pPr>
              <w:pStyle w:val="Normal"/>
              <w:tabs>
                <w:tab w:val="clear" w:pos="720"/>
                <w:tab w:val="left" w:pos="1332" w:leader="none"/>
                <w:tab w:val="left" w:pos="1512" w:leader="none"/>
              </w:tabs>
              <w:spacing w:before="120" w:after="0"/>
              <w:rPr/>
            </w:pPr>
            <w:r>
              <w:rPr/>
              <w:t>22,000 Tons</w:t>
            </w:r>
          </w:p>
          <w:p>
            <w:pPr>
              <w:pStyle w:val="Normal"/>
              <w:tabs>
                <w:tab w:val="clear" w:pos="720"/>
                <w:tab w:val="left" w:pos="1332" w:leader="none"/>
                <w:tab w:val="left" w:pos="1512" w:leader="none"/>
              </w:tabs>
              <w:spacing w:before="120" w:after="0"/>
              <w:rPr/>
            </w:pPr>
            <w:r>
              <w:rPr/>
            </w:r>
          </w:p>
        </w:tc>
      </w:tr>
      <w:tr>
        <w:trPr/>
        <w:tc>
          <w:tcPr>
            <w:tcW w:w="4428" w:type="dxa"/>
            <w:tcBorders/>
          </w:tcPr>
          <w:p>
            <w:pPr>
              <w:pStyle w:val="Normal"/>
              <w:spacing w:before="120" w:after="0"/>
              <w:rPr/>
            </w:pPr>
            <w:r>
              <w:rPr/>
              <w:t>Quantity per Determination Period:</w:t>
            </w:r>
          </w:p>
        </w:tc>
        <w:tc>
          <w:tcPr>
            <w:tcW w:w="4428" w:type="dxa"/>
            <w:tcBorders/>
          </w:tcPr>
          <w:p>
            <w:pPr>
              <w:pStyle w:val="Normal"/>
              <w:tabs>
                <w:tab w:val="clear" w:pos="720"/>
                <w:tab w:val="left" w:pos="1332" w:leader="none"/>
                <w:tab w:val="left" w:pos="1512" w:leader="none"/>
              </w:tabs>
              <w:spacing w:before="120" w:after="0"/>
              <w:rPr/>
            </w:pPr>
            <w:r>
              <w:rPr/>
              <w:t>2,000 Tons</w:t>
            </w:r>
          </w:p>
          <w:p>
            <w:pPr>
              <w:pStyle w:val="Normal"/>
              <w:tabs>
                <w:tab w:val="clear" w:pos="720"/>
                <w:tab w:val="left" w:pos="1332" w:leader="none"/>
                <w:tab w:val="left" w:pos="1512" w:leader="none"/>
              </w:tabs>
              <w:spacing w:before="120" w:after="0"/>
              <w:rPr/>
            </w:pPr>
            <w:r>
              <w:rPr/>
            </w:r>
          </w:p>
        </w:tc>
      </w:tr>
      <w:tr>
        <w:trPr/>
        <w:tc>
          <w:tcPr>
            <w:tcW w:w="4428" w:type="dxa"/>
            <w:tcBorders/>
          </w:tcPr>
          <w:p>
            <w:pPr>
              <w:pStyle w:val="Normal"/>
              <w:spacing w:before="120" w:after="0"/>
              <w:rPr/>
            </w:pPr>
            <w:r>
              <w:rPr/>
              <w:t>Commodity:</w:t>
            </w:r>
          </w:p>
        </w:tc>
        <w:tc>
          <w:tcPr>
            <w:tcW w:w="4428" w:type="dxa"/>
            <w:tcBorders/>
          </w:tcPr>
          <w:p>
            <w:pPr>
              <w:pStyle w:val="Normal"/>
              <w:tabs>
                <w:tab w:val="clear" w:pos="720"/>
                <w:tab w:val="left" w:pos="1332" w:leader="none"/>
              </w:tabs>
              <w:spacing w:before="120" w:after="0"/>
              <w:rPr/>
            </w:pPr>
            <w:r>
              <w:rPr/>
              <w:t>Hot Rolled Steel Sheet (Midwest)</w:t>
            </w:r>
          </w:p>
          <w:p>
            <w:pPr>
              <w:pStyle w:val="Normal"/>
              <w:tabs>
                <w:tab w:val="clear" w:pos="720"/>
                <w:tab w:val="left" w:pos="1332" w:leader="none"/>
              </w:tabs>
              <w:spacing w:before="120" w:after="0"/>
              <w:rPr/>
            </w:pPr>
            <w:r>
              <w:rPr/>
            </w:r>
          </w:p>
        </w:tc>
      </w:tr>
      <w:tr>
        <w:trPr/>
        <w:tc>
          <w:tcPr>
            <w:tcW w:w="4428" w:type="dxa"/>
            <w:tcBorders/>
          </w:tcPr>
          <w:p>
            <w:pPr>
              <w:pStyle w:val="Normal"/>
              <w:spacing w:before="120" w:after="0"/>
              <w:rPr/>
            </w:pPr>
            <w:r>
              <w:rPr/>
              <w:t>Commodity Unit:</w:t>
            </w:r>
          </w:p>
        </w:tc>
        <w:tc>
          <w:tcPr>
            <w:tcW w:w="4428" w:type="dxa"/>
            <w:tcBorders/>
          </w:tcPr>
          <w:p>
            <w:pPr>
              <w:pStyle w:val="Normal"/>
              <w:tabs>
                <w:tab w:val="clear" w:pos="720"/>
                <w:tab w:val="left" w:pos="1332" w:leader="none"/>
              </w:tabs>
              <w:spacing w:before="120" w:after="0"/>
              <w:rPr/>
            </w:pPr>
            <w:r>
              <w:rPr/>
              <w:t>Net Ton</w:t>
            </w:r>
          </w:p>
          <w:p>
            <w:pPr>
              <w:pStyle w:val="Normal"/>
              <w:tabs>
                <w:tab w:val="clear" w:pos="720"/>
                <w:tab w:val="left" w:pos="1332" w:leader="none"/>
              </w:tabs>
              <w:spacing w:before="120" w:after="0"/>
              <w:rPr/>
            </w:pPr>
            <w:r>
              <w:rPr/>
            </w:r>
          </w:p>
        </w:tc>
      </w:tr>
      <w:tr>
        <w:trPr/>
        <w:tc>
          <w:tcPr>
            <w:tcW w:w="4428" w:type="dxa"/>
            <w:tcBorders/>
          </w:tcPr>
          <w:p>
            <w:pPr>
              <w:pStyle w:val="Normal"/>
              <w:spacing w:before="120" w:after="0"/>
              <w:rPr/>
            </w:pPr>
            <w:r>
              <w:rPr/>
              <w:t>Trade Date:</w:t>
            </w:r>
          </w:p>
        </w:tc>
        <w:tc>
          <w:tcPr>
            <w:tcW w:w="4428" w:type="dxa"/>
            <w:tcBorders/>
          </w:tcPr>
          <w:p>
            <w:pPr>
              <w:pStyle w:val="Normal"/>
              <w:tabs>
                <w:tab w:val="clear" w:pos="720"/>
                <w:tab w:val="left" w:pos="1332" w:leader="none"/>
              </w:tabs>
              <w:spacing w:before="120" w:after="0"/>
              <w:rPr/>
            </w:pPr>
            <w:r>
              <w:rPr/>
              <w:t>[To Be Determined]</w:t>
            </w:r>
          </w:p>
          <w:p>
            <w:pPr>
              <w:pStyle w:val="Normal"/>
              <w:tabs>
                <w:tab w:val="clear" w:pos="720"/>
                <w:tab w:val="left" w:pos="1332" w:leader="none"/>
              </w:tabs>
              <w:spacing w:before="120" w:after="0"/>
              <w:rPr/>
            </w:pPr>
            <w:r>
              <w:rPr/>
            </w:r>
          </w:p>
        </w:tc>
      </w:tr>
      <w:tr>
        <w:trPr/>
        <w:tc>
          <w:tcPr>
            <w:tcW w:w="4428" w:type="dxa"/>
            <w:tcBorders/>
          </w:tcPr>
          <w:p>
            <w:pPr>
              <w:pStyle w:val="Normal"/>
              <w:spacing w:before="120" w:after="0"/>
              <w:rPr/>
            </w:pPr>
            <w:r>
              <w:rPr/>
              <w:t>Effective Date:</w:t>
            </w:r>
          </w:p>
        </w:tc>
        <w:tc>
          <w:tcPr>
            <w:tcW w:w="4428" w:type="dxa"/>
            <w:tcBorders/>
          </w:tcPr>
          <w:p>
            <w:pPr>
              <w:pStyle w:val="Normal"/>
              <w:tabs>
                <w:tab w:val="clear" w:pos="720"/>
                <w:tab w:val="left" w:pos="1332" w:leader="none"/>
              </w:tabs>
              <w:spacing w:before="120" w:after="0"/>
              <w:rPr/>
            </w:pPr>
            <w:r>
              <w:rPr/>
              <w:t>April 2001</w:t>
            </w:r>
          </w:p>
          <w:p>
            <w:pPr>
              <w:pStyle w:val="Normal"/>
              <w:tabs>
                <w:tab w:val="clear" w:pos="720"/>
                <w:tab w:val="left" w:pos="1332" w:leader="none"/>
              </w:tabs>
              <w:spacing w:before="120" w:after="0"/>
              <w:rPr/>
            </w:pPr>
            <w:r>
              <w:rPr/>
            </w:r>
          </w:p>
        </w:tc>
      </w:tr>
      <w:tr>
        <w:trPr/>
        <w:tc>
          <w:tcPr>
            <w:tcW w:w="4428" w:type="dxa"/>
            <w:tcBorders/>
          </w:tcPr>
          <w:p>
            <w:pPr>
              <w:pStyle w:val="Normal"/>
              <w:spacing w:before="120" w:after="0"/>
              <w:rPr/>
            </w:pPr>
            <w:r>
              <w:rPr/>
              <w:t>Termination Date:</w:t>
            </w:r>
          </w:p>
        </w:tc>
        <w:tc>
          <w:tcPr>
            <w:tcW w:w="4428" w:type="dxa"/>
            <w:tcBorders/>
          </w:tcPr>
          <w:p>
            <w:pPr>
              <w:pStyle w:val="Normal"/>
              <w:tabs>
                <w:tab w:val="clear" w:pos="720"/>
                <w:tab w:val="left" w:pos="1332" w:leader="none"/>
              </w:tabs>
              <w:spacing w:before="120" w:after="0"/>
              <w:rPr/>
            </w:pPr>
            <w:r>
              <w:rPr/>
              <w:t>February 2002</w:t>
            </w:r>
          </w:p>
          <w:p>
            <w:pPr>
              <w:pStyle w:val="Normal"/>
              <w:tabs>
                <w:tab w:val="clear" w:pos="720"/>
                <w:tab w:val="left" w:pos="1332" w:leader="none"/>
              </w:tabs>
              <w:spacing w:before="120" w:after="0"/>
              <w:rPr/>
            </w:pPr>
            <w:r>
              <w:rPr/>
            </w:r>
          </w:p>
        </w:tc>
      </w:tr>
      <w:tr>
        <w:trPr/>
        <w:tc>
          <w:tcPr>
            <w:tcW w:w="4428" w:type="dxa"/>
            <w:tcBorders/>
          </w:tcPr>
          <w:p>
            <w:pPr>
              <w:pStyle w:val="Normal"/>
              <w:snapToGrid w:val="false"/>
              <w:spacing w:before="120" w:after="0"/>
              <w:rPr/>
            </w:pPr>
            <w:r>
              <w:rPr/>
            </w:r>
          </w:p>
        </w:tc>
        <w:tc>
          <w:tcPr>
            <w:tcW w:w="4428" w:type="dxa"/>
            <w:tcBorders/>
          </w:tcPr>
          <w:p>
            <w:pPr>
              <w:pStyle w:val="Normal"/>
              <w:tabs>
                <w:tab w:val="clear" w:pos="720"/>
                <w:tab w:val="left" w:pos="1332" w:leader="none"/>
              </w:tabs>
              <w:snapToGrid w:val="false"/>
              <w:spacing w:before="120" w:after="0"/>
              <w:rPr/>
            </w:pPr>
            <w:r>
              <w:rPr/>
            </w:r>
          </w:p>
        </w:tc>
      </w:tr>
      <w:tr>
        <w:trPr/>
        <w:tc>
          <w:tcPr>
            <w:tcW w:w="4428" w:type="dxa"/>
            <w:tcBorders/>
          </w:tcPr>
          <w:p>
            <w:pPr>
              <w:pStyle w:val="Normal"/>
              <w:spacing w:before="120" w:after="0"/>
              <w:rPr/>
            </w:pPr>
            <w:r>
              <w:rPr/>
              <w:t>Determination Period(s):</w:t>
            </w:r>
          </w:p>
        </w:tc>
        <w:tc>
          <w:tcPr>
            <w:tcW w:w="4428" w:type="dxa"/>
            <w:tcBorders/>
          </w:tcPr>
          <w:p>
            <w:pPr>
              <w:pStyle w:val="BodyText3"/>
              <w:tabs>
                <w:tab w:val="clear" w:pos="1512"/>
                <w:tab w:val="left" w:pos="1332" w:leader="none"/>
              </w:tabs>
              <w:spacing w:before="120" w:after="0"/>
              <w:rPr>
                <w:sz w:val="24"/>
              </w:rPr>
            </w:pPr>
            <w:r>
              <w:rPr>
                <w:sz w:val="24"/>
              </w:rPr>
              <w:t xml:space="preserve">Each calendar month, with the first Determination Period commencing on the Effective Date. </w:t>
            </w:r>
          </w:p>
          <w:p>
            <w:pPr>
              <w:pStyle w:val="Normal"/>
              <w:tabs>
                <w:tab w:val="clear" w:pos="720"/>
                <w:tab w:val="left" w:pos="1332" w:leader="none"/>
              </w:tabs>
              <w:spacing w:before="120" w:after="0"/>
              <w:rPr>
                <w:sz w:val="24"/>
              </w:rPr>
            </w:pPr>
            <w:r>
              <w:rPr>
                <w:sz w:val="24"/>
              </w:rPr>
            </w:r>
          </w:p>
        </w:tc>
      </w:tr>
      <w:tr>
        <w:trPr/>
        <w:tc>
          <w:tcPr>
            <w:tcW w:w="4428" w:type="dxa"/>
            <w:tcBorders/>
          </w:tcPr>
          <w:p>
            <w:pPr>
              <w:pStyle w:val="Normal"/>
              <w:spacing w:before="120" w:after="0"/>
              <w:rPr/>
            </w:pPr>
            <w:r>
              <w:rPr/>
              <w:t>Payment Date(s):</w:t>
            </w:r>
          </w:p>
        </w:tc>
        <w:tc>
          <w:tcPr>
            <w:tcW w:w="4428" w:type="dxa"/>
            <w:tcBorders/>
          </w:tcPr>
          <w:p>
            <w:pPr>
              <w:pStyle w:val="Normal"/>
              <w:tabs>
                <w:tab w:val="clear" w:pos="720"/>
                <w:tab w:val="left" w:pos="1332" w:leader="none"/>
              </w:tabs>
              <w:spacing w:before="120" w:after="0"/>
              <w:jc w:val="both"/>
              <w:rPr/>
            </w:pPr>
            <w:r>
              <w:rPr/>
              <w:t>The fifth (5</w:t>
            </w:r>
            <w:r>
              <w:rPr>
                <w:vertAlign w:val="superscript"/>
              </w:rPr>
              <w:t>th</w:t>
            </w:r>
            <w:r>
              <w:rPr/>
              <w:t>) Business Day after the Floating Price is determinable.</w:t>
            </w:r>
          </w:p>
        </w:tc>
      </w:tr>
    </w:tbl>
    <w:p>
      <w:pPr>
        <w:pStyle w:val="Normal"/>
        <w:rPr/>
      </w:pPr>
      <w:r>
        <w:rPr/>
      </w:r>
    </w:p>
    <w:p>
      <w:pPr>
        <w:pStyle w:val="Heading2"/>
        <w:tabs>
          <w:tab w:val="clear" w:pos="720"/>
          <w:tab w:val="left" w:pos="4500" w:leader="none"/>
        </w:tabs>
        <w:ind w:hanging="0" w:start="0"/>
        <w:rPr>
          <w:b w:val="false"/>
          <w:i w:val="false"/>
          <w:i w:val="false"/>
          <w:iCs/>
          <w:sz w:val="24"/>
        </w:rPr>
      </w:pPr>
      <w:r>
        <w:rPr>
          <w:bCs/>
          <w:i w:val="false"/>
          <w:iCs/>
          <w:sz w:val="24"/>
        </w:rPr>
        <w:t>Fixed Amount Details:</w:t>
      </w:r>
    </w:p>
    <w:p>
      <w:pPr>
        <w:pStyle w:val="Normal"/>
        <w:rPr>
          <w:b/>
          <w:i/>
          <w:i/>
          <w:iCs/>
          <w:sz w:val="24"/>
        </w:rPr>
      </w:pPr>
      <w:r>
        <w:rPr>
          <w:b/>
          <w:i/>
          <w:iCs/>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pacing w:before="120" w:after="0"/>
              <w:rPr/>
            </w:pPr>
            <w:r>
              <w:rPr/>
              <w:t>Fixed Price Payer:</w:t>
            </w:r>
          </w:p>
        </w:tc>
        <w:tc>
          <w:tcPr>
            <w:tcW w:w="4428" w:type="dxa"/>
            <w:tcBorders/>
          </w:tcPr>
          <w:p>
            <w:pPr>
              <w:pStyle w:val="Normal"/>
              <w:spacing w:before="120" w:after="0"/>
              <w:rPr/>
            </w:pPr>
            <w:r>
              <w:rPr/>
              <w:t>ENA</w:t>
            </w:r>
          </w:p>
          <w:p>
            <w:pPr>
              <w:pStyle w:val="Normal"/>
              <w:spacing w:before="120" w:after="0"/>
              <w:rPr/>
            </w:pPr>
            <w:r>
              <w:rPr/>
            </w:r>
          </w:p>
        </w:tc>
      </w:tr>
      <w:tr>
        <w:trPr/>
        <w:tc>
          <w:tcPr>
            <w:tcW w:w="4428" w:type="dxa"/>
            <w:tcBorders/>
          </w:tcPr>
          <w:p>
            <w:pPr>
              <w:pStyle w:val="Normal"/>
              <w:spacing w:before="120" w:after="0"/>
              <w:rPr/>
            </w:pPr>
            <w:r>
              <w:rPr/>
              <w:t>Fixed Price:</w:t>
            </w:r>
          </w:p>
        </w:tc>
        <w:tc>
          <w:tcPr>
            <w:tcW w:w="4428" w:type="dxa"/>
            <w:tcBorders/>
          </w:tcPr>
          <w:p>
            <w:pPr>
              <w:pStyle w:val="Normal"/>
              <w:tabs>
                <w:tab w:val="clear" w:pos="720"/>
                <w:tab w:val="left" w:pos="1512" w:leader="none"/>
              </w:tabs>
              <w:spacing w:before="120" w:after="0"/>
              <w:rPr/>
            </w:pPr>
            <w:r>
              <w:rPr/>
              <w:t>USD $260 per Net Ton.</w:t>
            </w:r>
          </w:p>
          <w:p>
            <w:pPr>
              <w:pStyle w:val="Normal"/>
              <w:tabs>
                <w:tab w:val="clear" w:pos="720"/>
                <w:tab w:val="left" w:pos="1512" w:leader="none"/>
              </w:tabs>
              <w:spacing w:before="120" w:after="0"/>
              <w:rPr/>
            </w:pPr>
            <w:r>
              <w:rPr/>
            </w:r>
          </w:p>
        </w:tc>
      </w:tr>
      <w:tr>
        <w:trPr/>
        <w:tc>
          <w:tcPr>
            <w:tcW w:w="4428" w:type="dxa"/>
            <w:tcBorders/>
          </w:tcPr>
          <w:p>
            <w:pPr>
              <w:pStyle w:val="Normal"/>
              <w:spacing w:before="120" w:after="0"/>
              <w:rPr/>
            </w:pPr>
            <w:r>
              <w:rPr/>
              <w:t>Fixed Amount:</w:t>
            </w:r>
          </w:p>
          <w:p>
            <w:pPr>
              <w:pStyle w:val="Normal"/>
              <w:spacing w:before="120" w:after="0"/>
              <w:rPr/>
            </w:pPr>
            <w:r>
              <w:rPr/>
            </w:r>
          </w:p>
        </w:tc>
        <w:tc>
          <w:tcPr>
            <w:tcW w:w="4428" w:type="dxa"/>
            <w:tcBorders/>
          </w:tcPr>
          <w:p>
            <w:pPr>
              <w:pStyle w:val="Normal"/>
              <w:tabs>
                <w:tab w:val="clear" w:pos="720"/>
                <w:tab w:val="left" w:pos="1512" w:leader="none"/>
              </w:tabs>
              <w:spacing w:before="120" w:after="0"/>
              <w:jc w:val="both"/>
              <w:rPr/>
            </w:pPr>
            <w:r>
              <w:rPr/>
              <w:t>The Fixed Price multiplied by the Quantity per Determination Period.</w:t>
            </w:r>
          </w:p>
        </w:tc>
      </w:tr>
    </w:tbl>
    <w:p>
      <w:pPr>
        <w:pStyle w:val="Normal"/>
        <w:rPr/>
      </w:pPr>
      <w:r>
        <w:rPr/>
      </w:r>
    </w:p>
    <w:p>
      <w:pPr>
        <w:pStyle w:val="Heading2"/>
        <w:tabs>
          <w:tab w:val="clear" w:pos="720"/>
          <w:tab w:val="left" w:pos="4500" w:leader="none"/>
        </w:tabs>
        <w:ind w:hanging="0" w:start="0"/>
        <w:rPr>
          <w:b w:val="false"/>
          <w:sz w:val="24"/>
        </w:rPr>
      </w:pPr>
      <w:r>
        <w:rPr>
          <w:bCs/>
          <w:i w:val="false"/>
          <w:iCs/>
          <w:sz w:val="24"/>
        </w:rPr>
        <w:t>Floating Amount Details:</w:t>
      </w:r>
    </w:p>
    <w:p>
      <w:pPr>
        <w:pStyle w:val="Normal"/>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pacing w:before="120" w:after="0"/>
              <w:rPr/>
            </w:pPr>
            <w:r>
              <w:rPr/>
              <w:t>Floating Price Payer:</w:t>
            </w:r>
          </w:p>
        </w:tc>
        <w:tc>
          <w:tcPr>
            <w:tcW w:w="4428" w:type="dxa"/>
            <w:tcBorders/>
          </w:tcPr>
          <w:p>
            <w:pPr>
              <w:pStyle w:val="Normal"/>
              <w:spacing w:before="120" w:after="0"/>
              <w:rPr/>
            </w:pPr>
            <w:r>
              <w:rPr/>
              <w:t>WeBco</w:t>
            </w:r>
          </w:p>
          <w:p>
            <w:pPr>
              <w:pStyle w:val="Normal"/>
              <w:spacing w:before="120" w:after="0"/>
              <w:rPr/>
            </w:pPr>
            <w:r>
              <w:rPr/>
            </w:r>
          </w:p>
        </w:tc>
      </w:tr>
      <w:tr>
        <w:trPr/>
        <w:tc>
          <w:tcPr>
            <w:tcW w:w="4428" w:type="dxa"/>
            <w:tcBorders/>
          </w:tcPr>
          <w:p>
            <w:pPr>
              <w:pStyle w:val="Normal"/>
              <w:spacing w:before="120" w:after="0"/>
              <w:rPr/>
            </w:pPr>
            <w:r>
              <w:rPr/>
              <w:t>Floating Price:</w:t>
            </w:r>
          </w:p>
        </w:tc>
        <w:tc>
          <w:tcPr>
            <w:tcW w:w="4428" w:type="dxa"/>
            <w:tcBorders/>
          </w:tcPr>
          <w:p>
            <w:pPr>
              <w:pStyle w:val="Normal"/>
              <w:spacing w:before="120" w:after="0"/>
              <w:jc w:val="both"/>
              <w:rPr/>
            </w:pPr>
            <w:r>
              <w:rPr/>
              <w:t>The Floating Price for a Determination Period shall be the price for "Hot-rolled steel sheet (Midwest, $/ton)" under the heading "Latest Price" in the "Ferrous Metals (truckload quantities, FOB producing mills)" section of the "Transaction Prices" table in the first issue of Purchasing Magazine, or any successor publication, published by Purchasing Magazine or its successor (www.manufacturing.net/ magazine/purchasing) published during the month immediately following such Determina</w:t>
              <w:softHyphen/>
              <w:t xml:space="preserve">tion Period. </w:t>
            </w:r>
          </w:p>
          <w:p>
            <w:pPr>
              <w:pStyle w:val="Normal"/>
              <w:spacing w:before="120" w:after="0"/>
              <w:rPr/>
            </w:pPr>
            <w:r>
              <w:rPr/>
            </w:r>
          </w:p>
        </w:tc>
      </w:tr>
      <w:tr>
        <w:trPr/>
        <w:tc>
          <w:tcPr>
            <w:tcW w:w="4428" w:type="dxa"/>
            <w:tcBorders/>
          </w:tcPr>
          <w:p>
            <w:pPr>
              <w:pStyle w:val="Normal"/>
              <w:spacing w:before="120" w:after="0"/>
              <w:rPr/>
            </w:pPr>
            <w:r>
              <w:rPr/>
              <w:t>Floating Amount:</w:t>
            </w:r>
          </w:p>
          <w:p>
            <w:pPr>
              <w:pStyle w:val="Normal"/>
              <w:spacing w:before="120" w:after="0"/>
              <w:rPr/>
            </w:pPr>
            <w:r>
              <w:rPr/>
            </w:r>
          </w:p>
        </w:tc>
        <w:tc>
          <w:tcPr>
            <w:tcW w:w="4428" w:type="dxa"/>
            <w:tcBorders/>
          </w:tcPr>
          <w:p>
            <w:pPr>
              <w:pStyle w:val="BodyText3"/>
              <w:tabs>
                <w:tab w:val="clear" w:pos="1332"/>
                <w:tab w:val="clear" w:pos="1512"/>
              </w:tabs>
              <w:spacing w:before="120" w:after="0"/>
              <w:rPr>
                <w:sz w:val="24"/>
              </w:rPr>
            </w:pPr>
            <w:r>
              <w:rPr>
                <w:sz w:val="24"/>
              </w:rPr>
              <w:t>The Floating Price multiplied by the Quantity per Determination Period.</w:t>
            </w:r>
          </w:p>
          <w:p>
            <w:pPr>
              <w:pStyle w:val="Normal"/>
              <w:spacing w:before="120" w:after="0"/>
              <w:rPr>
                <w:sz w:val="24"/>
              </w:rPr>
            </w:pPr>
            <w:r>
              <w:rPr>
                <w:sz w:val="24"/>
              </w:rPr>
            </w:r>
          </w:p>
        </w:tc>
      </w:tr>
      <w:tr>
        <w:trPr/>
        <w:tc>
          <w:tcPr>
            <w:tcW w:w="4428" w:type="dxa"/>
            <w:tcBorders/>
          </w:tcPr>
          <w:p>
            <w:pPr>
              <w:pStyle w:val="Normal"/>
              <w:spacing w:before="120" w:after="0"/>
              <w:rPr/>
            </w:pPr>
            <w:r>
              <w:rPr/>
              <w:t>Pricing Date(s):</w:t>
            </w:r>
          </w:p>
        </w:tc>
        <w:tc>
          <w:tcPr>
            <w:tcW w:w="4428" w:type="dxa"/>
            <w:tcBorders/>
          </w:tcPr>
          <w:p>
            <w:pPr>
              <w:pStyle w:val="BodyText3"/>
              <w:tabs>
                <w:tab w:val="clear" w:pos="1332"/>
                <w:tab w:val="clear" w:pos="1512"/>
              </w:tabs>
              <w:spacing w:before="120" w:after="0"/>
              <w:rPr>
                <w:sz w:val="24"/>
              </w:rPr>
            </w:pPr>
            <w:r>
              <w:rPr>
                <w:sz w:val="24"/>
              </w:rPr>
              <w:t>Date of publication of Purchasing Magazine, or any successor publication, published by Purchasing Magazine for the applicable Determination Period.</w:t>
            </w:r>
          </w:p>
          <w:p>
            <w:pPr>
              <w:pStyle w:val="Normal"/>
              <w:spacing w:before="120" w:after="0"/>
              <w:rPr>
                <w:sz w:val="24"/>
              </w:rPr>
            </w:pPr>
            <w:r>
              <w:rPr>
                <w:sz w:val="24"/>
              </w:rPr>
            </w:r>
          </w:p>
        </w:tc>
      </w:tr>
    </w:tbl>
    <w:p>
      <w:pPr>
        <w:pStyle w:val="Normal"/>
        <w:rPr/>
      </w:pPr>
      <w:r>
        <w:rPr/>
      </w:r>
    </w:p>
    <w:p>
      <w:pPr>
        <w:pStyle w:val="Normal"/>
        <w:rPr/>
      </w:pPr>
      <w:r>
        <w:rPr/>
      </w:r>
    </w:p>
    <w:p>
      <w:pPr>
        <w:pStyle w:val="Heading2"/>
        <w:ind w:hanging="0" w:start="0"/>
        <w:rPr/>
      </w:pPr>
      <w:r>
        <w:rPr/>
        <w:t>5. Default Provisions</w:t>
      </w:r>
    </w:p>
    <w:tbl>
      <w:tblPr>
        <w:tblW w:w="8640" w:type="dxa"/>
        <w:jc w:val="start"/>
        <w:tblInd w:w="0" w:type="dxa"/>
        <w:tblLayout w:type="fixed"/>
        <w:tblCellMar>
          <w:top w:w="0" w:type="dxa"/>
          <w:start w:w="108" w:type="dxa"/>
          <w:bottom w:w="0" w:type="dxa"/>
          <w:end w:w="108" w:type="dxa"/>
        </w:tblCellMar>
      </w:tblPr>
      <w:tblGrid>
        <w:gridCol w:w="2160"/>
        <w:gridCol w:w="6480"/>
      </w:tblGrid>
      <w:tr>
        <w:trPr/>
        <w:tc>
          <w:tcPr>
            <w:tcW w:w="2160" w:type="dxa"/>
            <w:tcBorders/>
          </w:tcPr>
          <w:p>
            <w:pPr>
              <w:pStyle w:val="Normal"/>
              <w:spacing w:before="120" w:after="0"/>
              <w:rPr/>
            </w:pPr>
            <w:r>
              <w:rPr/>
              <w:t>Default:</w:t>
            </w:r>
          </w:p>
        </w:tc>
        <w:tc>
          <w:tcPr>
            <w:tcW w:w="6480" w:type="dxa"/>
            <w:tcBorders/>
          </w:tcPr>
          <w:p>
            <w:pPr>
              <w:pStyle w:val="Normal"/>
              <w:tabs>
                <w:tab w:val="clear" w:pos="720"/>
                <w:tab w:val="left" w:pos="1332" w:leader="none"/>
                <w:tab w:val="left" w:pos="1512" w:leader="none"/>
              </w:tabs>
              <w:spacing w:before="120" w:after="0"/>
              <w:jc w:val="both"/>
              <w:rPr/>
            </w:pPr>
            <w:r>
              <w:rPr/>
              <w:t>Defaults shall be defined in the definitive agreements.</w:t>
            </w:r>
          </w:p>
        </w:tc>
      </w:tr>
      <w:tr>
        <w:trPr/>
        <w:tc>
          <w:tcPr>
            <w:tcW w:w="2160" w:type="dxa"/>
            <w:tcBorders/>
          </w:tcPr>
          <w:p>
            <w:pPr>
              <w:pStyle w:val="Normal"/>
              <w:spacing w:before="120" w:after="0"/>
              <w:rPr/>
            </w:pPr>
            <w:r>
              <w:rPr/>
              <w:t>Balli Guarantee:</w:t>
            </w:r>
          </w:p>
        </w:tc>
        <w:tc>
          <w:tcPr>
            <w:tcW w:w="6480" w:type="dxa"/>
            <w:tcBorders/>
          </w:tcPr>
          <w:p>
            <w:pPr>
              <w:pStyle w:val="Normal"/>
              <w:tabs>
                <w:tab w:val="clear" w:pos="720"/>
                <w:tab w:val="left" w:pos="1332" w:leader="none"/>
                <w:tab w:val="left" w:pos="1512" w:leader="none"/>
              </w:tabs>
              <w:spacing w:before="120" w:after="0"/>
              <w:jc w:val="both"/>
              <w:rPr/>
            </w:pPr>
            <w:r>
              <w:rPr/>
              <w:t xml:space="preserve">Balli will provide a guarantee to ENA that supports the performance by WeBco for any quantities in a given month’s Declaration less than 10,000 NT that WeBco fails to re-schedule within 60 days.  The guarantee shall equal the Sales Price as defined in Section 3 (ENA Tolls Slab to Hot Rolled Steel and Sells Hot Rolled Steel to WeBco) multiplied by such quantities. </w:t>
            </w:r>
          </w:p>
          <w:p>
            <w:pPr>
              <w:pStyle w:val="Normal"/>
              <w:tabs>
                <w:tab w:val="clear" w:pos="720"/>
                <w:tab w:val="left" w:pos="1332" w:leader="none"/>
                <w:tab w:val="left" w:pos="1512" w:leader="none"/>
              </w:tabs>
              <w:spacing w:before="120" w:after="0"/>
              <w:jc w:val="both"/>
              <w:rPr/>
            </w:pPr>
            <w:r>
              <w:rPr/>
            </w:r>
          </w:p>
        </w:tc>
      </w:tr>
      <w:tr>
        <w:trPr/>
        <w:tc>
          <w:tcPr>
            <w:tcW w:w="2160" w:type="dxa"/>
            <w:tcBorders/>
          </w:tcPr>
          <w:p>
            <w:pPr>
              <w:pStyle w:val="Normal"/>
              <w:spacing w:before="120" w:after="0"/>
              <w:rPr/>
            </w:pPr>
            <w:r>
              <w:rPr/>
              <w:t xml:space="preserve">WeBco Default: </w:t>
            </w:r>
          </w:p>
        </w:tc>
        <w:tc>
          <w:tcPr>
            <w:tcW w:w="6480" w:type="dxa"/>
            <w:tcBorders/>
          </w:tcPr>
          <w:p>
            <w:pPr>
              <w:pStyle w:val="Normal"/>
              <w:tabs>
                <w:tab w:val="clear" w:pos="720"/>
                <w:tab w:val="left" w:pos="1332" w:leader="none"/>
                <w:tab w:val="left" w:pos="1512" w:leader="none"/>
              </w:tabs>
              <w:spacing w:before="120" w:after="0"/>
              <w:jc w:val="both"/>
              <w:rPr/>
            </w:pPr>
            <w:r>
              <w:rPr/>
              <w:t>In the event of a default by WeBco, ENA will have the right but not the obligation to convert slab to hot rolled steel at Weirton for a fixed cost of the product of $50/NT of prime steel produced, and the Hot Rolled Steel bill of lading weight.  Weirton to agree to appropriate documentation.</w:t>
            </w:r>
          </w:p>
          <w:p>
            <w:pPr>
              <w:pStyle w:val="Normal"/>
              <w:tabs>
                <w:tab w:val="clear" w:pos="720"/>
                <w:tab w:val="left" w:pos="1332" w:leader="none"/>
                <w:tab w:val="left" w:pos="1512" w:leader="none"/>
              </w:tabs>
              <w:spacing w:before="120" w:after="0"/>
              <w:jc w:val="both"/>
              <w:rPr/>
            </w:pPr>
            <w:r>
              <w:rPr/>
            </w:r>
          </w:p>
        </w:tc>
      </w:tr>
      <w:tr>
        <w:trPr/>
        <w:tc>
          <w:tcPr>
            <w:tcW w:w="2160" w:type="dxa"/>
            <w:tcBorders/>
          </w:tcPr>
          <w:p>
            <w:pPr>
              <w:pStyle w:val="Normal"/>
              <w:spacing w:before="120" w:after="0"/>
              <w:rPr/>
            </w:pPr>
            <w:r>
              <w:rPr/>
              <w:t xml:space="preserve">Insurance Policy: </w:t>
            </w:r>
          </w:p>
        </w:tc>
        <w:tc>
          <w:tcPr>
            <w:tcW w:w="6480" w:type="dxa"/>
            <w:tcBorders/>
          </w:tcPr>
          <w:p>
            <w:pPr>
              <w:pStyle w:val="BodyText"/>
              <w:tabs>
                <w:tab w:val="clear" w:pos="720"/>
                <w:tab w:val="left" w:pos="1332" w:leader="none"/>
                <w:tab w:val="left" w:pos="1512" w:leader="none"/>
              </w:tabs>
              <w:spacing w:before="120" w:after="240"/>
              <w:rPr/>
            </w:pPr>
            <w:r>
              <w:rPr/>
              <w:t>Balli/WeBco/Weirton will place ENA as the first listed beneficiary and an additional insured in its:</w:t>
            </w:r>
          </w:p>
          <w:p>
            <w:pPr>
              <w:pStyle w:val="BodyText"/>
              <w:numPr>
                <w:ilvl w:val="0"/>
                <w:numId w:val="2"/>
              </w:numPr>
              <w:tabs>
                <w:tab w:val="clear" w:pos="720"/>
                <w:tab w:val="left" w:pos="1332" w:leader="none"/>
                <w:tab w:val="left" w:pos="1512" w:leader="none"/>
              </w:tabs>
              <w:spacing w:before="120" w:after="240"/>
              <w:rPr/>
            </w:pPr>
            <w:r>
              <w:rPr/>
              <w:t>Insurance policy from Gerling America that covers late and defaulted payments due to WeBco from its clients; and</w:t>
            </w:r>
          </w:p>
          <w:p>
            <w:pPr>
              <w:pStyle w:val="BodyText"/>
              <w:numPr>
                <w:ilvl w:val="0"/>
                <w:numId w:val="2"/>
              </w:numPr>
              <w:tabs>
                <w:tab w:val="clear" w:pos="720"/>
                <w:tab w:val="left" w:pos="1332" w:leader="none"/>
                <w:tab w:val="left" w:pos="1512" w:leader="none"/>
              </w:tabs>
              <w:spacing w:before="120" w:after="240"/>
              <w:rPr/>
            </w:pPr>
            <w:r>
              <w:rPr/>
              <w:t xml:space="preserve">Any other appropriate insurance policies, including but not limited to, rail transport insurance, insurance at Novalog Terminal, insurance for loss/damage at Weirton. </w:t>
            </w:r>
          </w:p>
          <w:p>
            <w:pPr>
              <w:pStyle w:val="Normal"/>
              <w:tabs>
                <w:tab w:val="clear" w:pos="720"/>
                <w:tab w:val="left" w:pos="1332" w:leader="none"/>
                <w:tab w:val="left" w:pos="1512" w:leader="none"/>
              </w:tabs>
              <w:spacing w:before="120" w:after="0"/>
              <w:jc w:val="both"/>
              <w:rPr/>
            </w:pPr>
            <w:r>
              <w:rPr/>
            </w:r>
          </w:p>
        </w:tc>
      </w:tr>
      <w:tr>
        <w:trPr/>
        <w:tc>
          <w:tcPr>
            <w:tcW w:w="2160" w:type="dxa"/>
            <w:tcBorders/>
          </w:tcPr>
          <w:p>
            <w:pPr>
              <w:pStyle w:val="Normal"/>
              <w:spacing w:before="120" w:after="0"/>
              <w:rPr/>
            </w:pPr>
            <w:r>
              <w:rPr/>
              <w:t xml:space="preserve">Balli Default: </w:t>
            </w:r>
          </w:p>
        </w:tc>
        <w:tc>
          <w:tcPr>
            <w:tcW w:w="6480" w:type="dxa"/>
            <w:tcBorders/>
          </w:tcPr>
          <w:p>
            <w:pPr>
              <w:pStyle w:val="BodyText"/>
              <w:tabs>
                <w:tab w:val="clear" w:pos="720"/>
                <w:tab w:val="left" w:pos="1332" w:leader="none"/>
                <w:tab w:val="left" w:pos="1512" w:leader="none"/>
              </w:tabs>
              <w:spacing w:before="120" w:after="240"/>
              <w:rPr/>
            </w:pPr>
            <w:r>
              <w:rPr/>
              <w:t xml:space="preserve">If Balli fails to perform its obligations under the Slab Purchase Agreement, ENA shall be relieved of its obligation to perform to WeBco. </w:t>
            </w:r>
          </w:p>
          <w:p>
            <w:pPr>
              <w:pStyle w:val="Normal"/>
              <w:tabs>
                <w:tab w:val="clear" w:pos="720"/>
                <w:tab w:val="left" w:pos="1332" w:leader="none"/>
                <w:tab w:val="left" w:pos="1512" w:leader="none"/>
              </w:tabs>
              <w:spacing w:before="120" w:after="0"/>
              <w:jc w:val="both"/>
              <w:rPr/>
            </w:pPr>
            <w:r>
              <w:rPr/>
            </w:r>
          </w:p>
        </w:tc>
      </w:tr>
      <w:tr>
        <w:trPr/>
        <w:tc>
          <w:tcPr>
            <w:tcW w:w="2160" w:type="dxa"/>
            <w:tcBorders/>
          </w:tcPr>
          <w:p>
            <w:pPr>
              <w:pStyle w:val="Normal"/>
              <w:spacing w:before="120" w:after="0"/>
              <w:rPr/>
            </w:pPr>
            <w:r>
              <w:rPr/>
              <w:t xml:space="preserve">Hot Rolled Steel/Slab Quality Issues: </w:t>
            </w:r>
          </w:p>
        </w:tc>
        <w:tc>
          <w:tcPr>
            <w:tcW w:w="6480" w:type="dxa"/>
            <w:tcBorders/>
          </w:tcPr>
          <w:p>
            <w:pPr>
              <w:pStyle w:val="BodyText"/>
              <w:tabs>
                <w:tab w:val="clear" w:pos="720"/>
                <w:tab w:val="left" w:pos="1332" w:leader="none"/>
                <w:tab w:val="left" w:pos="1512" w:leader="none"/>
              </w:tabs>
              <w:spacing w:before="120" w:after="240"/>
              <w:rPr/>
            </w:pPr>
            <w:r>
              <w:rPr/>
              <w:t>If WeBco or its customers shall discover any defects in the slab or any products produced from the slabs covered by this agreement, WeBco shall indemnify ENA from any such claims, and neither WeBco nor its customers shall have any recourse to ENA therefor, nor shall WeBco be released from any obligation to ENA.  WeBco must present any such claims directly to Balli or Weirton, as applicable, for notification to and settlement with the steel producing mill for such slabs.  WeBco will cooperate with ENA in the presentation of any such claims at ENA’s request and shall notify ENA of any such claims.</w:t>
            </w:r>
          </w:p>
          <w:p>
            <w:pPr>
              <w:pStyle w:val="Normal"/>
              <w:tabs>
                <w:tab w:val="clear" w:pos="720"/>
                <w:tab w:val="left" w:pos="1332" w:leader="none"/>
                <w:tab w:val="left" w:pos="1512" w:leader="none"/>
              </w:tabs>
              <w:spacing w:before="120" w:after="0"/>
              <w:rPr/>
            </w:pPr>
            <w:r>
              <w:rPr/>
            </w:r>
          </w:p>
        </w:tc>
      </w:tr>
    </w:tbl>
    <w:p>
      <w:pPr>
        <w:pStyle w:val="Normal"/>
        <w:rPr/>
      </w:pPr>
      <w:r>
        <w:rPr/>
      </w:r>
    </w:p>
    <w:p>
      <w:pPr>
        <w:pStyle w:val="Normal"/>
        <w:tabs>
          <w:tab w:val="clear" w:pos="720"/>
          <w:tab w:val="left" w:pos="1332" w:leader="none"/>
          <w:tab w:val="left" w:pos="1512" w:leader="none"/>
        </w:tabs>
        <w:jc w:val="both"/>
        <w:rPr/>
      </w:pPr>
      <w:r>
        <w:rPr/>
      </w:r>
    </w:p>
    <w:p>
      <w:pPr>
        <w:pStyle w:val="Normal"/>
        <w:tabs>
          <w:tab w:val="clear" w:pos="720"/>
          <w:tab w:val="left" w:pos="1332" w:leader="none"/>
          <w:tab w:val="left" w:pos="1512" w:leader="none"/>
        </w:tabs>
        <w:jc w:val="both"/>
        <w:rPr/>
      </w:pPr>
      <w:r>
        <w:rPr/>
      </w:r>
    </w:p>
    <w:p>
      <w:pPr>
        <w:pStyle w:val="BodyText"/>
        <w:spacing w:before="0" w:after="240"/>
        <w:rPr>
          <w:b/>
        </w:rPr>
      </w:pPr>
      <w:r>
        <w:rPr>
          <w:b/>
        </w:rPr>
        <w:t>THIS DISCUSSION TERM SHEET DOES NOT CREATE A BINDING AND ENFORCEABLE CONTRACT BETWEEN ANY PARTY NOR CONSTITUTE A COMMITMENT OR OFFER OR COMMITMENT TO ANY PARTY OR PARTIES, BUT RATHER CONTAINS INDICATIVE TERMS AND IS INTENDED FOR DISCUSSION PURPOSES ONLY.  NO PARTY IS OBLIGATED TO ENTER INTO A CONTRACT NOR PURSUE ANY NEGOTIATIONS IN RESPECT THEREOF.  ALL TERMS ARE SUBJECT TO CHANGE UNTIL AGREEMENT AS TO A SPECIFIC TRANSACTION HAS BEEN REACHED AND EXECUTION BY THE PARTIES OF WRITTEN DEFINITIVE DOCUMENTATION CONTAINING ALL APPROPRIATE PROVISIONS INCLUDING, WITHOUT LIMITATION, ACCEPTABLE CREDIT AND MARGIN PROVISIONS.</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rPr>
    </w:pPr>
    <w:r>
      <w:rPr>
        <w:sz w:val="16"/>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HOU:604493.9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HOU:604493.9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641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jc w:val="both"/>
      <w:rPr>
        <w:sz w:val="16"/>
      </w:rPr>
    </w:pPr>
    <w:r>
      <w:rPr>
        <w:sz w:val="16"/>
      </w:rPr>
    </w:r>
  </w:p>
  <w:p>
    <w:pPr>
      <w:pStyle w:val="Footer"/>
      <w:jc w:val="both"/>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4"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HOU:604493.9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HOU:604493.9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 FOR DISCUSSION PURPOSES ONLY</w:t>
    </w:r>
  </w:p>
  <w:p>
    <w:pPr>
      <w:pStyle w:val="Header"/>
      <w:jc w:val="center"/>
      <w:rPr>
        <w:b/>
      </w:rPr>
    </w:pPr>
    <w:r>
      <w:rPr>
        <w:b/>
      </w:rPr>
      <w:t>WEBCO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St7z0">
    <w:name w:val="WW8NumSt7z0"/>
    <w:qFormat/>
    <w:rPr>
      <w:rFonts w:ascii="Arial" w:hAnsi="Arial" w:cs="Arial"/>
      <w:sz w:val="4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BodyText3">
    <w:name w:val="Body Text 3"/>
    <w:basedOn w:val="Normal"/>
    <w:qFormat/>
    <w:pPr>
      <w:tabs>
        <w:tab w:val="clear" w:pos="720"/>
        <w:tab w:val="left" w:pos="1332" w:leader="none"/>
        <w:tab w:val="left" w:pos="1512" w:leader="none"/>
      </w:tabs>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tom.evans@weirt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2001-01-31T13:19:00Z</dcterms:created>
  <dc:creator>A&amp;K</dc:creator>
  <dc:description/>
  <dc:language>en-CA</dc:language>
  <cp:lastModifiedBy>A&amp;K</cp:lastModifiedBy>
  <cp:lastPrinted>2001-01-29T17:41:00Z</cp:lastPrinted>
  <dcterms:modified xsi:type="dcterms:W3CDTF">2001-01-31T13:19:00Z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HOU:604493.9 </vt:lpwstr>
  </property>
</Properties>
</file>