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20" w:end="0"/>
        <w:jc w:val="both"/>
        <w:rPr/>
      </w:pPr>
      <w:r>
        <w:rPr/>
        <w:t xml:space="preserve">The Telecommunications Practice Group of Locke Liddell &amp; Sapp LLP provides a wide array of legal services to the diverse group of companies engaged in telecommunications businesses.  The firm’s clients include publicly traded and privately held companies providing satellite, broadcast, competitive long distance and local exchange services, Internet service providers, and  software companies specializing in products for the telecommunications industry.  The rapidly changing telecommunications landscape places a premium on the type of relevant, recent experience possessed by attorneys in the Telecommunications Practice Group. </w:t>
      </w:r>
    </w:p>
    <w:p>
      <w:pPr>
        <w:pStyle w:val="Normal"/>
        <w:widowControl/>
        <w:jc w:val="both"/>
        <w:rPr/>
      </w:pPr>
      <w:r>
        <w:rPr/>
      </w:r>
    </w:p>
    <w:p>
      <w:pPr>
        <w:pStyle w:val="Normal"/>
        <w:widowControl/>
        <w:jc w:val="both"/>
        <w:rPr>
          <w:b/>
        </w:rPr>
      </w:pPr>
      <w:r>
        <w:rPr>
          <w:b/>
        </w:rPr>
        <w:t>Corporate Finance/Mergers and Acquisitions</w:t>
      </w:r>
    </w:p>
    <w:p>
      <w:pPr>
        <w:pStyle w:val="Normal"/>
        <w:widowControl/>
        <w:jc w:val="both"/>
        <w:rPr/>
      </w:pPr>
      <w:r>
        <w:rPr/>
      </w:r>
    </w:p>
    <w:p>
      <w:pPr>
        <w:pStyle w:val="Normal"/>
        <w:widowControl/>
        <w:ind w:firstLine="720" w:end="0"/>
        <w:jc w:val="both"/>
        <w:rPr/>
      </w:pPr>
      <w:r>
        <w:rPr/>
        <w:t>Attorneys in the practice group have handled the formation of numerous business entities for telecommunication ventures, including corporations, partnerships, and joint ventures, with particular attention given to the tax aspects, control issues, and risk management associated with the formation of these entities.  Lawyers within the Practice Group have participated in the negotiation and completion of various mergers and acquisitions of telecommunications companies.  These transactions typically have required regulatory advice and counseling on specific corporate, securities, tax, real estate, employment, and environmental issues. Practice Group attorneys have worked closely on telecommunications legal issues with legal counsel in several countries outside the United States, including Mexico, the United Kingdom, France, Chile, Brazil, Costa Rica, Guatemala and Australia.</w:t>
      </w:r>
    </w:p>
    <w:p>
      <w:pPr>
        <w:pStyle w:val="Normal"/>
        <w:widowControl/>
        <w:jc w:val="both"/>
        <w:rPr/>
      </w:pPr>
      <w:r>
        <w:rPr/>
      </w:r>
    </w:p>
    <w:p>
      <w:pPr>
        <w:pStyle w:val="Normal"/>
        <w:widowControl/>
        <w:jc w:val="both"/>
        <w:rPr>
          <w:b/>
        </w:rPr>
      </w:pPr>
      <w:r>
        <w:rPr>
          <w:b/>
        </w:rPr>
        <w:t>Recent Representative Transactions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Dallas-based Belo Corp. in over $1.5 billion of public and private equity and debt financings and acquisition/disposition transactions, including television, radio, and broadcast media</w:t>
      </w:r>
    </w:p>
    <w:p>
      <w:pPr>
        <w:pStyle w:val="Normal"/>
        <w:widowControl/>
        <w:jc w:val="both"/>
        <w:rPr/>
      </w:pPr>
      <w:r>
        <w:rPr/>
      </w:r>
    </w:p>
    <w:p>
      <w:pPr>
        <w:pStyle w:val="Normal"/>
        <w:widowControl/>
        <w:ind w:hanging="720" w:start="720" w:end="0"/>
        <w:jc w:val="both"/>
        <w:rPr/>
      </w:pPr>
      <w:r>
        <w:rPr>
          <w:rFonts w:eastAsia="WP MathA" w:cs="WP MathA" w:ascii="WP MathA" w:hAnsi="WP MathA"/>
        </w:rPr>
        <w:sym w:font="WP MathA" w:char="f080"/>
      </w:r>
      <w:r>
        <w:rPr/>
        <w:tab/>
        <w:t>Represented Dynegy Inc. in all aspects of its development of a significant telecommunications business, including its $200 million acquisition of Extant, Inc.</w:t>
      </w:r>
    </w:p>
    <w:p>
      <w:pPr>
        <w:pStyle w:val="Normal"/>
        <w:widowControl/>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a major regional cellular company in its acquisition of the largest wireless provider in the Galveston MSA, and helped coordinate the integration of that market into our client’s existing market.</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Represented InternetAmerica, a national Internet access company, in its recent successful initial public offering of stock.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an Austin-based privately held international operator services long distance company in a series of transactions culminating in the merger of the company into a larger publicly held interexchange carrier.  Among the transactions prior to the merger in which we served as counsel to the company were a private placement of subordinated notes and warrants, a series of financing transactions with banks and other institutional sources of debt financing, and the formation of a joint venture with an Australian telecommunications company to establish a competitive long distance company in Chile.</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the founders of an Internet services company in connection with the formation and early stage development of the company; and then represented the owners of the company in connection with their sale of the stock of the company to a Texas-based long distance company.</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various telecommunication clients in connection with securing credit facility with institutional lenders to finance television station construction and  operations.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a telecommunications digital switching company in multi-round financings with venture capital participants.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Represented a Dallas-based cellular company in all of its legal needs, including some complicated tax structuring matters.  This company engaged in several acquisitions with respect to which we represented the company.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a publicly held REIT telecommunications company in connection with its multi-state acquisitions of communications towers and related assets and the stock of other telecommunications companies.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jc w:val="both"/>
        <w:rPr>
          <w:b/>
        </w:rPr>
      </w:pPr>
      <w:r>
        <w:rPr>
          <w:b/>
        </w:rPr>
        <w:t>General Corporate, Labor, and Contract Matters</w:t>
      </w:r>
    </w:p>
    <w:p>
      <w:pPr>
        <w:pStyle w:val="Normal"/>
        <w:widowControl/>
        <w:jc w:val="both"/>
        <w:rPr/>
      </w:pPr>
      <w:r>
        <w:rPr/>
      </w:r>
    </w:p>
    <w:p>
      <w:pPr>
        <w:pStyle w:val="Normal"/>
        <w:widowControl/>
        <w:ind w:firstLine="720" w:end="0"/>
        <w:jc w:val="both"/>
        <w:rPr/>
      </w:pPr>
      <w:r>
        <w:rPr/>
        <w:t>The Practice Group’s attorneys are experienced in negotiating and drafting a broad range of contracts for telecommunications companies.  Examples include network services, interconnection, billing and collection, factoring, equipment, office, vendor, software, consulting, sales representative and employment agreements, and confidentiality, nondisclosure, and noncompetition agreements.  Through the firm’s representation of one of the first major operators of private satellite television networks, it has gained valuable experience in the organization of networks.  Specific aspects include the agreements with industry principals for establishing network, subscription and installation agreements, satellite uplinking and microwave transmission agreements, satellite transponder, and space segment leases.</w:t>
      </w:r>
    </w:p>
    <w:p>
      <w:pPr>
        <w:pStyle w:val="Normal"/>
        <w:widowControl/>
        <w:jc w:val="both"/>
        <w:rPr/>
      </w:pPr>
      <w:r>
        <w:rPr/>
      </w:r>
    </w:p>
    <w:p>
      <w:pPr>
        <w:pStyle w:val="Normal"/>
        <w:widowControl/>
        <w:jc w:val="both"/>
        <w:rPr>
          <w:b/>
        </w:rPr>
      </w:pPr>
      <w:r>
        <w:rPr>
          <w:b/>
        </w:rPr>
        <w:t>Recent Representative Matters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Cingular Wireless—a wireless joint venture between BellSouth and SBC—in a wide variety of matters, including acquisition of cellular companies, contracting issues, litigation matters (including litigation with retailers), employment matters and real estate matters. </w:t>
      </w:r>
    </w:p>
    <w:p>
      <w:pPr>
        <w:pStyle w:val="Normal"/>
        <w:widowControl/>
        <w:jc w:val="both"/>
        <w:rPr/>
      </w:pPr>
      <w:r>
        <w:rPr/>
      </w:r>
    </w:p>
    <w:p>
      <w:pPr>
        <w:pStyle w:val="Normal"/>
        <w:widowControl/>
        <w:ind w:hanging="720" w:start="720" w:end="0"/>
        <w:jc w:val="both"/>
        <w:rPr/>
      </w:pPr>
      <w:r>
        <w:rPr>
          <w:rFonts w:eastAsia="WP MathA" w:cs="WP MathA" w:ascii="WP MathA" w:hAnsi="WP MathA"/>
        </w:rPr>
        <w:sym w:font="WP MathA" w:char="f080"/>
      </w:r>
      <w:r>
        <w:rPr/>
        <w:tab/>
        <w:t xml:space="preserve">Represent a major Texas-based utility in its formation and development of a telecommunications company focusing on local telephone service and Internet access.  This representation has included working with this client on all tariff and other regulatory matters, as well as on a broad variety of commercial matters.  </w:t>
      </w:r>
    </w:p>
    <w:p>
      <w:pPr>
        <w:pStyle w:val="Normal"/>
        <w:widowControl/>
        <w:jc w:val="both"/>
        <w:rPr/>
      </w:pPr>
      <w:r>
        <w:rPr/>
      </w:r>
    </w:p>
    <w:p>
      <w:pPr>
        <w:pStyle w:val="Normal"/>
        <w:widowControl/>
        <w:ind w:hanging="720" w:start="720" w:end="0"/>
        <w:jc w:val="both"/>
        <w:rPr/>
      </w:pPr>
      <w:r>
        <w:rPr>
          <w:rFonts w:eastAsia="WP MathA" w:cs="WP MathA" w:ascii="WP MathA" w:hAnsi="WP MathA"/>
        </w:rPr>
        <w:sym w:font="WP MathA" w:char="f080"/>
      </w:r>
      <w:r>
        <w:rPr/>
        <w:tab/>
        <w:t xml:space="preserve">Represent several wireless companies in connection with their site acquisition and tower leasing transactions, including AT&amp;T Wireless, Houston Cellular Telephone Company, Nextel and Pinnacle Group.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a privately held interexchange carrier that provides domestic and international operator services and domestic direct dial services in a wide array of agreements material to the company, including its network services agreements with AT&amp;T, MCI, Sprint, and other network providers, its billing and collection agreements with a subsidiary of EDS, its sales representative agreements with sales agents in the United States, Mexico, and several other countries, and its operator and 1+ service agreements with its domestic and international customers.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Drafted and negotiated personnel policies for a reseller of long distance services and for a  major provider of cellular services.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People's Choice, a wireless television company based in Arizona, in all of its Texas transactions.  This representation has involved substantial work on various real estate and siting matters, as well as a broad variety of litigation.  We also worked with this client in structuring its operations, both from a tax and business standpoint.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several telecommunications companies in wrongful discharge and  employment discrimination disputes.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GTE (now Verizon)—one of the five largest wireless telephone companies—for several years in its Texas-based employment law and other litigation matters.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Highway Masters—yet another wireless telephone company—in all of its tax and transactional matters on a national basis.  Most recently, this has involved a substantial amount of sales tax analysis and tax-structuring analysis.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Moffat Cable—a large cable television company—in issues relating to its formation, including tax-structuring, contracting, litigation and other matters.  We have initiated a series of acquisitions on behalf of this client.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a major energy company in its analysis of its strategic options for utilizing its pipeline easements to build a fiber optic cable system.</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Nextlink in all legal aspects of its shared tenant service provider business, including with respect to building access agreements, employment, trademark litigation and corporate acquisitions.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Time-Warner Cable in Texas in Austin on a variety of general corporate matters.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Represented manufacturers of telecommunications equipment and wireless cable  providers in citations issued by OSHA.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EXCEL Telecommunications in various employment matters in Texas.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Digital &amp; Wireless, a CLEC, in all of its legal needs.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Verizon Wireless in connection with the construction of a telecommunications facility in the Dallas-Fort Worth area.</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Drafted and negotiated employment agreements for ieSmartSystems,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jc w:val="both"/>
        <w:rPr>
          <w:b/>
        </w:rPr>
      </w:pPr>
      <w:r>
        <w:rPr>
          <w:b/>
        </w:rPr>
        <w:t>Litigation/Regulatory Practice</w:t>
      </w:r>
    </w:p>
    <w:p>
      <w:pPr>
        <w:pStyle w:val="Normal"/>
        <w:widowControl/>
        <w:jc w:val="both"/>
        <w:rPr/>
      </w:pPr>
      <w:r>
        <w:rPr/>
      </w:r>
    </w:p>
    <w:p>
      <w:pPr>
        <w:pStyle w:val="Normal"/>
        <w:widowControl/>
        <w:ind w:firstLine="720" w:end="0"/>
        <w:jc w:val="both"/>
        <w:rPr/>
      </w:pPr>
      <w:r>
        <w:rPr/>
        <w:t>Practice Group attorneys have served for over a decade as regulatory counsel in Texas to the United States’ second largest interexchange carrier.  Experiences gained in the post-divestiture era of the 1980's, which involved representation in agency actions regulating access charges and reseller credits, provide a solid foundation for the current transitioning into local exchange competition now occurring in the United States, and the emerging long distance competition unfolding in other countries such as Mexico.  The firm provides ongoing monitoring of tariff revision filings and provides advice to telecommunications clients on city/sales tax issues and state legislative developments in Texas and Louisiana.</w:t>
      </w:r>
    </w:p>
    <w:p>
      <w:pPr>
        <w:pStyle w:val="Normal"/>
        <w:widowControl/>
        <w:jc w:val="both"/>
        <w:rPr/>
      </w:pPr>
      <w:r>
        <w:rPr/>
      </w:r>
    </w:p>
    <w:p>
      <w:pPr>
        <w:pStyle w:val="Normal"/>
        <w:widowControl/>
        <w:ind w:firstLine="720" w:end="0"/>
        <w:jc w:val="both"/>
        <w:rPr/>
      </w:pPr>
      <w:r>
        <w:rPr/>
        <w:t xml:space="preserve">In the litigation arena, attorneys at Locke Liddell &amp; Sapp LLP have been involved in representing telecommunications companies in cases alleging tortious interference, breach of contract, conspiracy, and other types of tort and contract claims. </w:t>
      </w:r>
    </w:p>
    <w:p>
      <w:pPr>
        <w:pStyle w:val="Normal"/>
        <w:widowControl/>
        <w:jc w:val="both"/>
        <w:rPr/>
      </w:pPr>
      <w:r>
        <w:rPr/>
      </w:r>
    </w:p>
    <w:p>
      <w:pPr>
        <w:pStyle w:val="Normal"/>
        <w:keepNext w:val="true"/>
        <w:widowControl/>
        <w:jc w:val="both"/>
        <w:rPr>
          <w:b/>
        </w:rPr>
      </w:pPr>
      <w:r>
        <w:rPr>
          <w:b/>
        </w:rPr>
        <w:t xml:space="preserve">Recent Representative Matters </w:t>
      </w:r>
    </w:p>
    <w:p>
      <w:pPr>
        <w:pStyle w:val="Normal"/>
        <w:keepNext w:val="true"/>
        <w:widowControl/>
        <w:jc w:val="both"/>
        <w:rPr/>
      </w:pPr>
      <w:r>
        <w:rPr/>
      </w:r>
    </w:p>
    <w:p>
      <w:pPr>
        <w:pStyle w:val="Normal"/>
        <w:keepNext w:val="true"/>
        <w:widowControl/>
        <w:ind w:hanging="720" w:start="720" w:end="0"/>
        <w:jc w:val="both"/>
        <w:rPr/>
      </w:pPr>
      <w:r>
        <w:rPr>
          <w:rFonts w:eastAsia="WP MathA" w:cs="WP MathA" w:ascii="WP MathA" w:hAnsi="WP MathA"/>
        </w:rPr>
        <w:sym w:font="WP MathA" w:char="f080"/>
      </w:r>
      <w:r>
        <w:rPr/>
        <w:tab/>
        <w:t xml:space="preserve">Represented AT&amp;T in a litigation matter vs. Qwest which resulted in a jury verdict of over $351 million in favor of AT&amp;T.  </w:t>
      </w:r>
    </w:p>
    <w:p>
      <w:pPr>
        <w:pStyle w:val="Normal"/>
        <w:keepNext w:val="true"/>
        <w:widowControl/>
        <w:jc w:val="both"/>
        <w:rPr/>
      </w:pPr>
      <w:r>
        <w:rPr/>
      </w:r>
    </w:p>
    <w:p>
      <w:pPr>
        <w:pStyle w:val="Normal"/>
        <w:keepNext w:val="true"/>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Appeared as counsel of record for MCI in on-going regulatory proceedings in Texas, which currently include arbitration proceedings mandated by the Federal Telecommunications Act of 1996 (“FTA”), negotiation of interconnection agreements, legal changes to implementation of FTA provisions in Texas, judicial proceedings involving challenges to the 1995 amendments to the Public Utility Regulatory Act, and disputes over operating authority in the local exchange market.  This representation required a complete and detailed understanding of every component of local or exchange networks.  As a side benefit, we garnered a thorough understanding of the most recent technology, how it is used, and what technological trends will dictate the development of the telecommunications industry in the future. </w:t>
      </w:r>
    </w:p>
    <w:p>
      <w:pPr>
        <w:pStyle w:val="Normal"/>
        <w:widowControl/>
        <w:jc w:val="both"/>
        <w:rPr/>
      </w:pPr>
      <w:r>
        <w:rPr/>
      </w:r>
    </w:p>
    <w:p>
      <w:pPr>
        <w:pStyle w:val="Normal"/>
        <w:widowControl/>
        <w:ind w:hanging="720" w:start="720" w:end="0"/>
        <w:jc w:val="both"/>
        <w:rPr/>
      </w:pPr>
      <w:r>
        <w:rPr>
          <w:rFonts w:eastAsia="WP MathA" w:cs="WP MathA" w:ascii="WP MathA" w:hAnsi="WP MathA"/>
        </w:rPr>
        <w:sym w:font="WP MathA" w:char="f080"/>
      </w:r>
      <w:r>
        <w:rPr/>
        <w:tab/>
        <w:t xml:space="preserve">Regularly monitor and participate in PUC proceedings impacting the wireless industry, including, most recently, number conservation, number pooling and implementation of HB 1777.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AT&amp;T in a broad variety of commercial litigation, employment litigation and other business disputes.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b/>
        </w:rPr>
        <w:tab/>
      </w:r>
      <w:r>
        <w:rPr/>
        <w:t>Appeared as counsel of record in multi-party litigation in state court alleging tortious interference, conspiracy, breach of fiduciary duty, and other claims.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long distance resellers and facilities based carriers in Louisiana in petitions for certificates of public convenience and necessities and other matters such as local transport restructure and interconnection rules.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We are involved in precedent-setting litigation involving Southwestern Bell’s attempts to use its eminent domain powers to condemn the spaces in office buildings through which our client’s cables pass and where its equipment is stored.  This is the first lawsuit of its kind in the country and is being closely watched by other office buildings and CLEC’s.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We have represented at least two of the Bell companies in various Texas-based litigation matters.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a major telecommunications company on government relations matters at the local, state and federal level.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Provided anti-trust counseling to wireless telecommunications companies on various issues (including distributorship contracts, pricing programs and joint site acquisitions).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 and serve as outside counsel in Texas to VoiceStream Wireless Corp. in a variety of matters including general litigation, regulatory, and real estate and leasing matters.</w:t>
      </w:r>
    </w:p>
    <w:p>
      <w:pPr>
        <w:pStyle w:val="Normal"/>
        <w:widowControl/>
        <w:jc w:val="both"/>
        <w:rPr/>
      </w:pPr>
      <w:r>
        <w:rPr/>
      </w:r>
    </w:p>
    <w:p>
      <w:pPr>
        <w:pStyle w:val="Normal"/>
        <w:widowControl/>
        <w:jc w:val="both"/>
        <w:rPr/>
      </w:pPr>
      <w:r>
        <w:rPr/>
      </w:r>
    </w:p>
    <w:p>
      <w:pPr>
        <w:pStyle w:val="Normal"/>
        <w:widowControl/>
        <w:jc w:val="both"/>
        <w:rPr>
          <w:b/>
        </w:rPr>
      </w:pPr>
      <w:r>
        <w:rPr>
          <w:b/>
        </w:rPr>
        <w:t>Right of Access Issues</w:t>
      </w:r>
    </w:p>
    <w:p>
      <w:pPr>
        <w:pStyle w:val="Normal"/>
        <w:widowControl/>
        <w:jc w:val="both"/>
        <w:rPr/>
      </w:pPr>
      <w:r>
        <w:rPr/>
      </w:r>
    </w:p>
    <w:p>
      <w:pPr>
        <w:pStyle w:val="Normal"/>
        <w:widowControl/>
        <w:ind w:firstLine="720" w:end="0"/>
        <w:jc w:val="both"/>
        <w:rPr/>
      </w:pPr>
      <w:r>
        <w:rPr/>
        <w:t xml:space="preserve">Recognizing the importance of emerging telecommunications technology and the impact of new legislation on landlord/tenant relationships and provider access to buildings, attorneys at Locke Liddell &amp; Sapp LLP have developed substantial experience in this area.  For example, attorneys have represented a diversified technology company in rulemaking activities related to the regulation of “smart” buildings and have published articles on the impact of mandatory access provisions on the owners of multi-tenant properties.  </w:t>
      </w:r>
    </w:p>
    <w:p>
      <w:pPr>
        <w:pStyle w:val="Normal"/>
        <w:widowControl/>
        <w:jc w:val="both"/>
        <w:rPr/>
      </w:pPr>
      <w:r>
        <w:rPr/>
      </w:r>
    </w:p>
    <w:p>
      <w:pPr>
        <w:pStyle w:val="Normal"/>
        <w:widowControl/>
        <w:jc w:val="both"/>
        <w:rPr>
          <w:b/>
        </w:rPr>
      </w:pPr>
      <w:r>
        <w:rPr>
          <w:b/>
        </w:rPr>
        <w:t>Recent Representative Matters</w:t>
      </w:r>
    </w:p>
    <w:p>
      <w:pPr>
        <w:pStyle w:val="Normal"/>
        <w:widowControl/>
        <w:jc w:val="both"/>
        <w:rPr/>
      </w:pPr>
      <w:r>
        <w:rPr/>
      </w:r>
    </w:p>
    <w:p>
      <w:pPr>
        <w:pStyle w:val="Normal"/>
        <w:widowControl/>
        <w:ind w:hanging="720" w:start="720" w:end="0"/>
        <w:jc w:val="both"/>
        <w:rPr/>
      </w:pPr>
      <w:r>
        <w:rPr>
          <w:rFonts w:eastAsia="WP MathA" w:cs="WP MathA" w:ascii="WP MathA" w:hAnsi="WP MathA"/>
        </w:rPr>
        <w:sym w:font="WP MathA" w:char="f080"/>
      </w:r>
      <w:r>
        <w:rPr/>
        <w:tab/>
        <w:t xml:space="preserve">On behalf of our clients, we have engaged with municipalities throughout Texas as they have attempted to develop or enforce tower siting ordinances.  As a result, we have developed substantial expertise with respect to the provisions of the Telecommunications Act of 1996 that restrict a municipality’s ability to regulate tower siting.  We have effectively worked with (and against) municipalities to encourage them to take more reasonable approaches in new ordinances affecting tower siting, and we have successfully fought with municipalities over permit denials.  We have been actively involved in developing and monitoring legislation impacting the wireless industry, including with respect to wireless facilities’ siting, taxation of wireless facilities, and operational restrictions affecting wireless companies.  For example, we were an active part of the group that assured that wireless facilities were exempted from the municipal franchise fee bill.  We also successfully lobbied for an amendment exempting wireless facilities’ siting from a recent bill affecting land development.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Drafted telecommunications license agreements for a variety of office building owners, including insurance companies and one of the largest pension funds in Texas.  These agreements govern the right of telecommunications service providers to access buildings under the Federal Telecommunications Act of 1996 and recent amendments to the Texas Public Utility Regulatory Act.</w:t>
      </w:r>
    </w:p>
    <w:p>
      <w:pPr>
        <w:pStyle w:val="Normal"/>
        <w:widowControl/>
        <w:jc w:val="both"/>
        <w:rPr/>
      </w:pPr>
      <w:r>
        <w:rPr/>
      </w:r>
    </w:p>
    <w:p>
      <w:pPr>
        <w:pStyle w:val="Normal"/>
        <w:widowControl/>
        <w:jc w:val="both"/>
        <w:rPr/>
      </w:pPr>
      <w:r>
        <w:rPr/>
      </w:r>
    </w:p>
    <w:p>
      <w:pPr>
        <w:pStyle w:val="Normal"/>
        <w:widowControl/>
        <w:jc w:val="both"/>
        <w:rPr>
          <w:b/>
        </w:rPr>
      </w:pPr>
      <w:r>
        <w:rPr>
          <w:b/>
        </w:rPr>
        <w:t>Intellectual Property/Patents/Trademarks/Copyrights</w:t>
      </w:r>
    </w:p>
    <w:p>
      <w:pPr>
        <w:pStyle w:val="Normal"/>
        <w:widowControl/>
        <w:jc w:val="both"/>
        <w:rPr/>
      </w:pPr>
      <w:r>
        <w:rPr/>
      </w:r>
    </w:p>
    <w:p>
      <w:pPr>
        <w:pStyle w:val="Normal"/>
        <w:widowControl/>
        <w:ind w:firstLine="720" w:end="0"/>
        <w:jc w:val="both"/>
        <w:rPr/>
      </w:pPr>
      <w:r>
        <w:rPr/>
        <w:t>With the deregulation of the telecommunications industry, telecommunications service providers, as well as traditional equipment and software vendors, increasingly rely on intellectual property to maintain and advance their positions in the marketplace.  The Practice Group includes intellectual property attorneys with significant telecommunications experience who assist companies in obtaining enforceable patents, trademarks, and copyrights and in licensing technologies from and to other companies.</w:t>
      </w:r>
    </w:p>
    <w:p>
      <w:pPr>
        <w:pStyle w:val="Normal"/>
        <w:widowControl/>
        <w:jc w:val="both"/>
        <w:rPr/>
      </w:pPr>
      <w:r>
        <w:rPr/>
      </w:r>
    </w:p>
    <w:p>
      <w:pPr>
        <w:pStyle w:val="Normal"/>
        <w:widowControl/>
        <w:jc w:val="both"/>
        <w:rPr>
          <w:b/>
        </w:rPr>
      </w:pPr>
      <w:r>
        <w:rPr>
          <w:b/>
        </w:rPr>
        <w:t>Recent Representative Matters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b/>
        </w:rPr>
        <w:tab/>
      </w:r>
      <w:r>
        <w:rPr/>
        <w:t>Structuring the transfer of telecommunications technology to a Mexican corporation operating in both Mexico and the United States.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 xml:space="preserve">Represent Lucent Technologies, a manufacturer of telecommunications equipment, in several intellectual property matters.  </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Issuing patent infringement opinion on digital video conferencing system.</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Filing and prosecuting trademarks for several telecommunications service providers.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Represented Motorola in two patent infringement cases involving cellular telephony.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Preparation and prosecution of patent applications for major manufacturers of telecommunications equipment and software developers.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eastAsia="WP MathA" w:cs="WP MathA" w:ascii="WP MathA" w:hAnsi="WP MathA"/>
        </w:rPr>
        <w:sym w:font="WP MathA" w:char="f080"/>
      </w:r>
      <w:r>
        <w:rPr/>
        <w:tab/>
        <w:t>Preparation of software license agreements for internet service providers.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keepNext w:val="true"/>
        <w:keepLines/>
        <w:widowControl/>
        <w:jc w:val="both"/>
        <w:rPr>
          <w:b/>
        </w:rPr>
      </w:pPr>
      <w:r>
        <w:rPr>
          <w:b/>
        </w:rPr>
        <w:t>Board Certification</w:t>
      </w:r>
    </w:p>
    <w:p>
      <w:pPr>
        <w:pStyle w:val="Normal"/>
        <w:keepNext w:val="true"/>
        <w:keepLines/>
        <w:widowControl/>
        <w:jc w:val="both"/>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776" w:footer="432" w:bottom="720"/>
          <w:pgNumType w:fmt="decimal"/>
          <w:formProt w:val="false"/>
          <w:titlePg/>
          <w:textDirection w:val="lrTb"/>
          <w:docGrid w:type="default" w:linePitch="360" w:charSpace="0"/>
        </w:sectPr>
        <w:pStyle w:val="Normal"/>
        <w:keepLines/>
        <w:widowControl/>
        <w:ind w:firstLine="720" w:end="0"/>
        <w:jc w:val="both"/>
        <w:rPr/>
      </w:pPr>
      <w:r>
        <w:rPr/>
        <w:t>Although no attorney of the firm is certified as a specialist in media or communications legal matters by any board or professional review group, the Practice Group includes attorneys certified in administrative law and labor and employment law by the State Bar of Texas and attorneys admitted to practice before state and federal courts, the United States Supreme Court, and the United States Patent and Trademark Office.</w:t>
      </w:r>
    </w:p>
    <w:p>
      <w:pPr>
        <w:pStyle w:val="Normal"/>
        <w:widowControl/>
        <w:jc w:val="center"/>
        <w:rPr>
          <w:b/>
        </w:rPr>
      </w:pPr>
      <w:r>
        <w:rPr>
          <w:b/>
        </w:rPr>
        <w:t>REPRESENTATIVE TELECOMMUNICATIONS CLIENT LIST</w:t>
      </w:r>
    </w:p>
    <w:p>
      <w:pPr>
        <w:pStyle w:val="Normal"/>
        <w:widowControl/>
        <w:jc w:val="both"/>
        <w:rPr/>
      </w:pPr>
      <w:r>
        <w:rPr/>
      </w:r>
    </w:p>
    <w:p>
      <w:pPr>
        <w:pStyle w:val="Normal"/>
        <w:widowControl/>
        <w:jc w:val="both"/>
        <w:rPr/>
      </w:pPr>
      <w:r>
        <w:rPr/>
      </w:r>
    </w:p>
    <w:p>
      <w:pPr>
        <w:pStyle w:val="Normal"/>
        <w:widowControl/>
        <w:jc w:val="center"/>
        <w:rPr/>
      </w:pPr>
      <w:r>
        <w:rPr/>
        <w:t>Aerial Communications</w:t>
      </w:r>
    </w:p>
    <w:p>
      <w:pPr>
        <w:pStyle w:val="Normal"/>
        <w:widowControl/>
        <w:jc w:val="center"/>
        <w:rPr/>
      </w:pPr>
      <w:r>
        <w:rPr/>
        <w:t>American Electronics Association</w:t>
      </w:r>
    </w:p>
    <w:p>
      <w:pPr>
        <w:pStyle w:val="Normal"/>
        <w:widowControl/>
        <w:jc w:val="center"/>
        <w:rPr/>
      </w:pPr>
      <w:r>
        <w:rPr/>
        <w:t>Argyle Television, Inc.</w:t>
      </w:r>
    </w:p>
    <w:p>
      <w:pPr>
        <w:pStyle w:val="Normal"/>
        <w:widowControl/>
        <w:jc w:val="center"/>
        <w:rPr/>
      </w:pPr>
      <w:r>
        <w:rPr/>
        <w:t>Austin Cablevision</w:t>
      </w:r>
    </w:p>
    <w:p>
      <w:pPr>
        <w:pStyle w:val="Normal"/>
        <w:widowControl/>
        <w:jc w:val="center"/>
        <w:rPr/>
      </w:pPr>
      <w:r>
        <w:rPr/>
        <w:t>AT&amp;T Wireless Service</w:t>
      </w:r>
    </w:p>
    <w:p>
      <w:pPr>
        <w:pStyle w:val="Normal"/>
        <w:widowControl/>
        <w:jc w:val="center"/>
        <w:rPr/>
      </w:pPr>
      <w:r>
        <w:rPr/>
        <w:t>Belo Corp.</w:t>
      </w:r>
    </w:p>
    <w:p>
      <w:pPr>
        <w:pStyle w:val="Normal"/>
        <w:widowControl/>
        <w:jc w:val="center"/>
        <w:rPr/>
      </w:pPr>
      <w:r>
        <w:rPr/>
        <w:t>BellSouth Wireless</w:t>
      </w:r>
    </w:p>
    <w:p>
      <w:pPr>
        <w:pStyle w:val="Normal"/>
        <w:widowControl/>
        <w:jc w:val="center"/>
        <w:rPr/>
      </w:pPr>
      <w:r>
        <w:rPr/>
        <w:t>Broadcast Towers, Inc.</w:t>
      </w:r>
    </w:p>
    <w:p>
      <w:pPr>
        <w:pStyle w:val="Normal"/>
        <w:widowControl/>
        <w:jc w:val="center"/>
        <w:rPr/>
      </w:pPr>
      <w:r>
        <w:rPr/>
        <w:t>Capital Network Systems, Inc.</w:t>
      </w:r>
    </w:p>
    <w:p>
      <w:pPr>
        <w:pStyle w:val="Normal"/>
        <w:widowControl/>
        <w:jc w:val="center"/>
        <w:rPr/>
      </w:pPr>
      <w:r>
        <w:rPr/>
        <w:t>Cingular Wireless</w:t>
      </w:r>
    </w:p>
    <w:p>
      <w:pPr>
        <w:pStyle w:val="Normal"/>
        <w:widowControl/>
        <w:jc w:val="center"/>
        <w:rPr/>
      </w:pPr>
      <w:r>
        <w:rPr/>
        <w:t>Citizens Communications</w:t>
      </w:r>
    </w:p>
    <w:p>
      <w:pPr>
        <w:pStyle w:val="Normal"/>
        <w:widowControl/>
        <w:jc w:val="center"/>
        <w:rPr/>
      </w:pPr>
      <w:r>
        <w:rPr/>
        <w:t>Clearwire Technologies</w:t>
      </w:r>
    </w:p>
    <w:p>
      <w:pPr>
        <w:pStyle w:val="Normal"/>
        <w:widowControl/>
        <w:jc w:val="center"/>
        <w:rPr/>
      </w:pPr>
      <w:r>
        <w:rPr/>
        <w:t>CompuCom Systems, Inc.</w:t>
      </w:r>
    </w:p>
    <w:p>
      <w:pPr>
        <w:pStyle w:val="Normal"/>
        <w:widowControl/>
        <w:jc w:val="center"/>
        <w:rPr/>
      </w:pPr>
      <w:r>
        <w:rPr/>
        <w:t>Crescent Real Estate</w:t>
      </w:r>
    </w:p>
    <w:p>
      <w:pPr>
        <w:pStyle w:val="Normal"/>
        <w:widowControl/>
        <w:jc w:val="center"/>
        <w:rPr/>
      </w:pPr>
      <w:r>
        <w:rPr/>
        <w:t>Datavox</w:t>
      </w:r>
    </w:p>
    <w:p>
      <w:pPr>
        <w:pStyle w:val="Normal"/>
        <w:widowControl/>
        <w:jc w:val="center"/>
        <w:rPr/>
      </w:pPr>
      <w:r>
        <w:rPr/>
        <w:t>Digital &amp; Wireless</w:t>
      </w:r>
    </w:p>
    <w:p>
      <w:pPr>
        <w:pStyle w:val="Normal"/>
        <w:widowControl/>
        <w:jc w:val="center"/>
        <w:rPr/>
      </w:pPr>
      <w:r>
        <w:rPr/>
        <w:t>Dynegy Global Communications</w:t>
      </w:r>
    </w:p>
    <w:p>
      <w:pPr>
        <w:pStyle w:val="Normal"/>
        <w:widowControl/>
        <w:jc w:val="center"/>
        <w:rPr/>
      </w:pPr>
      <w:r>
        <w:rPr/>
        <w:t>El Paso Corporation</w:t>
      </w:r>
    </w:p>
    <w:p>
      <w:pPr>
        <w:pStyle w:val="Normal"/>
        <w:widowControl/>
        <w:jc w:val="center"/>
        <w:rPr/>
      </w:pPr>
      <w:r>
        <w:rPr/>
        <w:t>Ericcson, Inc.</w:t>
      </w:r>
    </w:p>
    <w:p>
      <w:pPr>
        <w:pStyle w:val="Normal"/>
        <w:widowControl/>
        <w:jc w:val="center"/>
        <w:rPr/>
      </w:pPr>
      <w:r>
        <w:rPr/>
        <w:t>Fast Connections, Inc.</w:t>
      </w:r>
    </w:p>
    <w:p>
      <w:pPr>
        <w:pStyle w:val="Normal"/>
        <w:widowControl/>
        <w:jc w:val="center"/>
        <w:rPr/>
      </w:pPr>
      <w:r>
        <w:rPr/>
        <w:t>GTE</w:t>
      </w:r>
    </w:p>
    <w:p>
      <w:pPr>
        <w:pStyle w:val="Normal"/>
        <w:widowControl/>
        <w:jc w:val="center"/>
        <w:rPr/>
      </w:pPr>
      <w:r>
        <w:rPr/>
        <w:t>Heartland Wireless Communications, Inc.</w:t>
      </w:r>
    </w:p>
    <w:p>
      <w:pPr>
        <w:pStyle w:val="Normal"/>
        <w:widowControl/>
        <w:jc w:val="center"/>
        <w:rPr/>
      </w:pPr>
      <w:r>
        <w:rPr/>
        <w:t>Highway Masters</w:t>
      </w:r>
    </w:p>
    <w:p>
      <w:pPr>
        <w:pStyle w:val="Normal"/>
        <w:widowControl/>
        <w:jc w:val="center"/>
        <w:rPr/>
      </w:pPr>
      <w:r>
        <w:rPr/>
        <w:t>Hispanic Broadcasting Corporation</w:t>
      </w:r>
    </w:p>
    <w:p>
      <w:pPr>
        <w:pStyle w:val="Normal"/>
        <w:widowControl/>
        <w:jc w:val="center"/>
        <w:rPr/>
      </w:pPr>
      <w:r>
        <w:rPr/>
        <w:t>The Houston Chronicle</w:t>
      </w:r>
    </w:p>
    <w:p>
      <w:pPr>
        <w:pStyle w:val="Normal"/>
        <w:widowControl/>
        <w:jc w:val="center"/>
        <w:rPr/>
      </w:pPr>
      <w:r>
        <w:rPr/>
        <w:t>ieSmartSystems, L.L.C.</w:t>
      </w:r>
    </w:p>
    <w:p>
      <w:pPr>
        <w:pStyle w:val="Normal"/>
        <w:widowControl/>
        <w:jc w:val="center"/>
        <w:rPr/>
      </w:pPr>
      <w:r>
        <w:rPr/>
        <w:t>InternetAmerica</w:t>
      </w:r>
    </w:p>
    <w:p>
      <w:pPr>
        <w:pStyle w:val="Normal"/>
        <w:widowControl/>
        <w:jc w:val="center"/>
        <w:rPr/>
      </w:pPr>
      <w:r>
        <w:rPr/>
        <w:t>Internetwork Experts</w:t>
      </w:r>
    </w:p>
    <w:p>
      <w:pPr>
        <w:pStyle w:val="Normal"/>
        <w:widowControl/>
        <w:jc w:val="center"/>
        <w:rPr/>
      </w:pPr>
      <w:r>
        <w:rPr/>
        <w:t>Koch Industries</w:t>
      </w:r>
    </w:p>
    <w:p>
      <w:pPr>
        <w:pStyle w:val="Normal"/>
        <w:widowControl/>
        <w:jc w:val="center"/>
        <w:rPr/>
      </w:pPr>
      <w:r>
        <w:rPr/>
        <w:t>Lucent Technologies, Inc.</w:t>
      </w:r>
    </w:p>
    <w:p>
      <w:pPr>
        <w:pStyle w:val="Normal"/>
        <w:widowControl/>
        <w:jc w:val="center"/>
        <w:rPr/>
      </w:pPr>
      <w:r>
        <w:rPr/>
        <w:t>MCI Communications Corp.</w:t>
      </w:r>
    </w:p>
    <w:p>
      <w:pPr>
        <w:pStyle w:val="Normal"/>
        <w:widowControl/>
        <w:jc w:val="center"/>
        <w:rPr/>
      </w:pPr>
      <w:r>
        <w:rPr/>
        <w:t>Moffat Cable</w:t>
      </w:r>
    </w:p>
    <w:p>
      <w:pPr>
        <w:pStyle w:val="Normal"/>
        <w:widowControl/>
        <w:jc w:val="center"/>
        <w:rPr/>
      </w:pPr>
      <w:r>
        <w:rPr/>
        <w:t>Mitel, Inc.</w:t>
      </w:r>
    </w:p>
    <w:p>
      <w:pPr>
        <w:pStyle w:val="Normal"/>
        <w:widowControl/>
        <w:jc w:val="center"/>
        <w:rPr/>
      </w:pPr>
      <w:r>
        <w:rPr/>
        <w:t>Mitsubishi Electric America, Inc.</w:t>
      </w:r>
    </w:p>
    <w:p>
      <w:pPr>
        <w:pStyle w:val="Normal"/>
        <w:widowControl/>
        <w:jc w:val="center"/>
        <w:rPr/>
      </w:pPr>
      <w:r>
        <w:rPr/>
        <w:t>Netvoice Technologies Corporation</w:t>
      </w:r>
    </w:p>
    <w:p>
      <w:pPr>
        <w:pStyle w:val="Normal"/>
        <w:widowControl/>
        <w:jc w:val="center"/>
        <w:rPr/>
      </w:pPr>
      <w:r>
        <w:rPr/>
        <w:t>Network Operator Services Incorporated</w:t>
      </w:r>
    </w:p>
    <w:p>
      <w:pPr>
        <w:pStyle w:val="Normal"/>
        <w:widowControl/>
        <w:jc w:val="center"/>
        <w:rPr/>
      </w:pPr>
      <w:r>
        <w:rPr/>
        <w:t>Nextel</w:t>
      </w:r>
    </w:p>
    <w:p>
      <w:pPr>
        <w:pStyle w:val="Normal"/>
        <w:widowControl/>
        <w:jc w:val="center"/>
        <w:rPr/>
      </w:pPr>
      <w:r>
        <w:rPr/>
        <w:t>Nextlink</w:t>
      </w:r>
    </w:p>
    <w:p>
      <w:pPr>
        <w:pStyle w:val="Normal"/>
        <w:widowControl/>
        <w:jc w:val="center"/>
        <w:rPr/>
      </w:pPr>
      <w:r>
        <w:rPr/>
        <w:t>Northern Telecom, Inc.</w:t>
      </w:r>
    </w:p>
    <w:p>
      <w:pPr>
        <w:pStyle w:val="Normal"/>
        <w:widowControl/>
        <w:jc w:val="center"/>
        <w:rPr/>
      </w:pPr>
      <w:r>
        <w:rPr/>
        <w:t>1-800 Reconnex</w:t>
      </w:r>
    </w:p>
    <w:p>
      <w:pPr>
        <w:pStyle w:val="Normal"/>
        <w:widowControl/>
        <w:jc w:val="center"/>
        <w:rPr/>
      </w:pPr>
      <w:r>
        <w:rPr/>
        <w:t>People’s Choice Cable</w:t>
      </w:r>
    </w:p>
    <w:p>
      <w:pPr>
        <w:pStyle w:val="Normal"/>
        <w:widowControl/>
        <w:jc w:val="center"/>
        <w:rPr/>
      </w:pPr>
      <w:r>
        <w:rPr/>
        <w:t>Pinnacle Towers, Inc.</w:t>
      </w:r>
    </w:p>
    <w:p>
      <w:pPr>
        <w:pStyle w:val="Normal"/>
        <w:widowControl/>
        <w:jc w:val="center"/>
        <w:rPr>
          <w:b/>
        </w:rPr>
      </w:pPr>
      <w:r>
        <w:rPr>
          <w:b/>
        </w:rPr>
        <w:t>REPRESENTATIVE TELECOMMUNICATIONS CLIENT LIST</w:t>
      </w:r>
    </w:p>
    <w:p>
      <w:pPr>
        <w:pStyle w:val="Normal"/>
        <w:widowControl/>
        <w:jc w:val="center"/>
        <w:rPr/>
      </w:pPr>
      <w:r>
        <w:rPr/>
      </w:r>
    </w:p>
    <w:p>
      <w:pPr>
        <w:pStyle w:val="Normal"/>
        <w:widowControl/>
        <w:jc w:val="center"/>
        <w:rPr/>
      </w:pPr>
      <w:r>
        <w:rPr/>
      </w:r>
    </w:p>
    <w:p>
      <w:pPr>
        <w:pStyle w:val="Normal"/>
        <w:widowControl/>
        <w:jc w:val="center"/>
        <w:rPr/>
      </w:pPr>
      <w:r>
        <w:rPr/>
        <w:t>Proxy Communications, Inc.</w:t>
      </w:r>
    </w:p>
    <w:p>
      <w:pPr>
        <w:pStyle w:val="Normal"/>
        <w:widowControl/>
        <w:jc w:val="center"/>
        <w:rPr/>
      </w:pPr>
      <w:r>
        <w:rPr/>
        <w:t>Quanta Services, Inc.</w:t>
      </w:r>
    </w:p>
    <w:p>
      <w:pPr>
        <w:pStyle w:val="Normal"/>
        <w:widowControl/>
        <w:jc w:val="center"/>
        <w:rPr/>
      </w:pPr>
      <w:r>
        <w:rPr/>
        <w:t>Qwest</w:t>
      </w:r>
    </w:p>
    <w:p>
      <w:pPr>
        <w:pStyle w:val="Normal"/>
        <w:widowControl/>
        <w:jc w:val="center"/>
        <w:rPr/>
      </w:pPr>
      <w:r>
        <w:rPr/>
        <w:t>Radiofone, Inc.</w:t>
      </w:r>
    </w:p>
    <w:p>
      <w:pPr>
        <w:pStyle w:val="Normal"/>
        <w:widowControl/>
        <w:jc w:val="center"/>
        <w:rPr/>
      </w:pPr>
      <w:r>
        <w:rPr/>
        <w:t>Reliant Energy Communications</w:t>
      </w:r>
    </w:p>
    <w:p>
      <w:pPr>
        <w:pStyle w:val="Normal"/>
        <w:widowControl/>
        <w:jc w:val="center"/>
        <w:rPr/>
      </w:pPr>
      <w:r>
        <w:rPr/>
        <w:t>RiverRock Systems</w:t>
      </w:r>
    </w:p>
    <w:p>
      <w:pPr>
        <w:pStyle w:val="Normal"/>
        <w:widowControl/>
        <w:jc w:val="center"/>
        <w:rPr/>
      </w:pPr>
      <w:r>
        <w:rPr/>
        <w:t>Sage Communications</w:t>
      </w:r>
    </w:p>
    <w:p>
      <w:pPr>
        <w:pStyle w:val="Normal"/>
        <w:widowControl/>
        <w:jc w:val="center"/>
        <w:rPr/>
      </w:pPr>
      <w:r>
        <w:rPr/>
        <w:t>SierraCom</w:t>
      </w:r>
    </w:p>
    <w:p>
      <w:pPr>
        <w:pStyle w:val="Normal"/>
        <w:widowControl/>
        <w:jc w:val="center"/>
        <w:rPr/>
      </w:pPr>
      <w:r>
        <w:rPr/>
        <w:t>Signature Towers</w:t>
      </w:r>
    </w:p>
    <w:p>
      <w:pPr>
        <w:pStyle w:val="Normal"/>
        <w:widowControl/>
        <w:jc w:val="center"/>
        <w:rPr/>
      </w:pPr>
      <w:r>
        <w:rPr/>
        <w:t>Simple Communications</w:t>
      </w:r>
    </w:p>
    <w:p>
      <w:pPr>
        <w:pStyle w:val="Normal"/>
        <w:widowControl/>
        <w:jc w:val="center"/>
        <w:rPr/>
      </w:pPr>
      <w:r>
        <w:rPr/>
        <w:t>Sprint PCS</w:t>
      </w:r>
    </w:p>
    <w:p>
      <w:pPr>
        <w:pStyle w:val="Normal"/>
        <w:widowControl/>
        <w:jc w:val="center"/>
        <w:rPr/>
      </w:pPr>
      <w:r>
        <w:rPr/>
        <w:t>Telecoin Communications</w:t>
      </w:r>
    </w:p>
    <w:p>
      <w:pPr>
        <w:pStyle w:val="Normal"/>
        <w:widowControl/>
        <w:jc w:val="center"/>
        <w:rPr/>
      </w:pPr>
      <w:r>
        <w:rPr/>
        <w:t>Telescan</w:t>
      </w:r>
    </w:p>
    <w:p>
      <w:pPr>
        <w:pStyle w:val="Normal"/>
        <w:widowControl/>
        <w:jc w:val="center"/>
        <w:rPr/>
      </w:pPr>
      <w:r>
        <w:rPr/>
        <w:t>Telserve Communications, Inc.</w:t>
      </w:r>
    </w:p>
    <w:p>
      <w:pPr>
        <w:pStyle w:val="Normal"/>
        <w:widowControl/>
        <w:jc w:val="center"/>
        <w:rPr/>
      </w:pPr>
      <w:r>
        <w:rPr/>
        <w:t>TEPPCO Partners, L.P.</w:t>
      </w:r>
    </w:p>
    <w:p>
      <w:pPr>
        <w:pStyle w:val="Normal"/>
        <w:widowControl/>
        <w:jc w:val="center"/>
        <w:rPr/>
      </w:pPr>
      <w:r>
        <w:rPr/>
        <w:t>Tichenor Media Systems, Inc.</w:t>
      </w:r>
    </w:p>
    <w:p>
      <w:pPr>
        <w:pStyle w:val="Normal"/>
        <w:widowControl/>
        <w:jc w:val="center"/>
        <w:rPr/>
      </w:pPr>
      <w:r>
        <w:rPr/>
        <w:t>Time-Warner Cable of Austin</w:t>
      </w:r>
    </w:p>
    <w:p>
      <w:pPr>
        <w:pStyle w:val="Normal"/>
        <w:widowControl/>
        <w:jc w:val="center"/>
        <w:rPr/>
      </w:pPr>
      <w:r>
        <w:rPr/>
        <w:t>Valor Communications</w:t>
      </w:r>
    </w:p>
    <w:p>
      <w:pPr>
        <w:pStyle w:val="Normal"/>
        <w:widowControl/>
        <w:jc w:val="center"/>
        <w:rPr/>
      </w:pPr>
      <w:r>
        <w:rPr/>
        <w:t>Verizon (f/k/a GTE)</w:t>
      </w:r>
    </w:p>
    <w:p>
      <w:pPr>
        <w:pStyle w:val="Normal"/>
        <w:widowControl/>
        <w:jc w:val="center"/>
        <w:rPr/>
      </w:pPr>
      <w:r>
        <w:rPr/>
        <w:t>VoiceStream Wireless Corp.</w:t>
      </w:r>
    </w:p>
    <w:p>
      <w:pPr>
        <w:pStyle w:val="Normal"/>
        <w:widowControl/>
        <w:jc w:val="center"/>
        <w:rPr/>
      </w:pPr>
      <w:r>
        <w:rPr/>
        <w:t>Zocom Technologies, Inc.</w:t>
      </w:r>
    </w:p>
    <w:sectPr>
      <w:headerReference w:type="default" r:id="rId6"/>
      <w:headerReference w:type="first" r:id="rId7"/>
      <w:footerReference w:type="default" r:id="rId8"/>
      <w:footerReference w:type="first" r:id="rId9"/>
      <w:type w:val="nextPage"/>
      <w:pgSz w:w="12240" w:h="15840"/>
      <w:pgMar w:left="1800" w:right="1800" w:gutter="0" w:header="720" w:top="77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Garamond">
    <w:charset w:val="00" w:characterSet="windows-1252"/>
    <w:family w:val="roman"/>
    <w:pitch w:val="variable"/>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16"/>
      </w:rPr>
    </w:pPr>
    <w:r>
      <w:rPr>
        <w:b/>
        <w:sz w:val="16"/>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b/>
        <w:sz w:val="16"/>
      </w:rPr>
      <w:t>AUSTIN • DALLAS • HOUSTON</w:t>
    </w:r>
    <w:r>
      <w:rPr>
        <w:sz w:val="16"/>
      </w:rPr>
      <w:t xml:space="preserve"> </w:t>
    </w:r>
    <w:r>
      <w:rPr>
        <w:b/>
        <w:sz w:val="16"/>
      </w:rPr>
      <w:t>• NEW ORLEANS</w: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sz w:val="16"/>
      </w:rPr>
      <w:t>3400 Chase Tower, 600 Travis Street, Houston, Texas 77002</w:t>
    </w:r>
  </w:p>
  <w:p>
    <w:pPr>
      <w:pStyle w:val="Normal"/>
      <w:tabs>
        <w:tab w:val="clear" w:pos="720"/>
        <w:tab w:val="center" w:pos="4320" w:leader="none"/>
        <w:tab w:val="right" w:pos="9000" w:leader="none"/>
      </w:tabs>
      <w:ind w:start="-360" w:end="-360"/>
      <w:jc w:val="center"/>
      <w:rPr>
        <w:sz w:val="16"/>
      </w:rPr>
    </w:pPr>
    <w:r>
      <w:rPr>
        <w:sz w:val="16"/>
      </w:rPr>
      <w:t>Telephone: (713) 226-1200 • Fax: (713) 223-3717</w:t>
    </w:r>
  </w:p>
  <w:p>
    <w:pPr>
      <w:pStyle w:val="Footer"/>
      <w:spacing w:lineRule="exact" w:line="200"/>
      <w:rPr>
        <w:sz w:val="12"/>
      </w:rPr>
    </w:pPr>
    <w:r>
      <w:rPr>
        <w:sz w:val="12"/>
      </w:rPr>
    </w:r>
  </w:p>
  <w:p>
    <w:pPr>
      <w:pStyle w:val="Footer"/>
      <w:spacing w:lineRule="exact" w:line="200"/>
      <w:rPr>
        <w:sz w:val="12"/>
      </w:rPr>
    </w:pPr>
    <w:r>
      <w:rPr>
        <w:sz w:val="12"/>
      </w:rPr>
      <w:fldChar w:fldCharType="begin"/>
    </w:r>
    <w:r>
      <w:rPr>
        <w:sz w:val="12"/>
      </w:rPr>
      <w:instrText xml:space="preserve"> DOCPROPERTY "SWDocID"</w:instrText>
    </w:r>
    <w:r>
      <w:rPr>
        <w:sz w:val="12"/>
      </w:rPr>
      <w:fldChar w:fldCharType="separate"/>
    </w:r>
    <w:r>
      <w:rPr>
        <w:sz w:val="12"/>
      </w:rPr>
      <w:t>HOUSTON:910000/40000:484624v2</w:t>
    </w:r>
    <w:r>
      <w:rPr>
        <w:sz w:val="12"/>
      </w:rPr>
      <w:fldChar w:fldCharType="end"/>
    </w:r>
  </w:p>
  <w:p>
    <w:pPr>
      <w:pStyle w:val="Footer"/>
      <w:spacing w:lineRule="exact" w:line="200"/>
      <w:rPr/>
    </w:pPr>
    <w:r>
      <w:rPr/>
      <w:softHyphen/>
      <w:t>HOUSTON 910000/40000 484624v2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16"/>
      </w:rPr>
    </w:pPr>
    <w:r>
      <w:rPr>
        <w:b/>
        <w:sz w:val="16"/>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b/>
        <w:sz w:val="16"/>
      </w:rPr>
      <w:t>AUSTIN • DALLAS • HOUSTON</w:t>
    </w:r>
    <w:r>
      <w:rPr>
        <w:sz w:val="16"/>
      </w:rPr>
      <w:t xml:space="preserve"> </w:t>
    </w:r>
    <w:r>
      <w:rPr>
        <w:b/>
        <w:sz w:val="16"/>
      </w:rPr>
      <w:t>• NEW ORLEANS</w: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sz w:val="16"/>
      </w:rPr>
      <w:t>3400 Chase Tower, 600 Travis Street, Houston, Texas 77002</w:t>
    </w:r>
  </w:p>
  <w:p>
    <w:pPr>
      <w:pStyle w:val="Normal"/>
      <w:tabs>
        <w:tab w:val="clear" w:pos="720"/>
        <w:tab w:val="center" w:pos="4320" w:leader="none"/>
        <w:tab w:val="right" w:pos="9000" w:leader="none"/>
      </w:tabs>
      <w:ind w:start="-360" w:end="-360"/>
      <w:jc w:val="center"/>
      <w:rPr>
        <w:sz w:val="16"/>
      </w:rPr>
    </w:pPr>
    <w:r>
      <w:rPr>
        <w:sz w:val="16"/>
      </w:rPr>
      <w:t>Telephone: (713) 226-1200 • Fax: (713) 223-3717</w:t>
    </w:r>
  </w:p>
  <w:p>
    <w:pPr>
      <w:pStyle w:val="Footer"/>
      <w:rPr>
        <w:sz w:val="16"/>
      </w:rPr>
    </w:pPr>
    <w:r>
      <w:rPr>
        <w:sz w:val="16"/>
      </w:rPr>
    </w:r>
  </w:p>
  <w:p>
    <w:pPr>
      <w:pStyle w:val="Footer"/>
      <w:rPr/>
    </w:pPr>
    <w:r>
      <w:rPr/>
      <w:fldChar w:fldCharType="begin"/>
    </w:r>
    <w:r>
      <w:rPr/>
      <w:instrText xml:space="preserve"> DOCPROPERTY "SWDocID"</w:instrText>
    </w:r>
    <w:r>
      <w:rPr/>
      <w:fldChar w:fldCharType="separate"/>
    </w:r>
    <w:r>
      <w:rPr/>
      <w:t>HOUSTON:910000/40000:484624v2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16"/>
      </w:rPr>
    </w:pPr>
    <w:r>
      <w:rPr>
        <w:b/>
        <w:sz w:val="16"/>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pPr>
    <w:r>
      <w:rPr>
        <w:b/>
        <w:sz w:val="16"/>
      </w:rPr>
      <w:t>AUSTIN • DALLAS • HOUSTON</w:t>
    </w:r>
    <w:r>
      <w:rPr>
        <w:sz w:val="16"/>
      </w:rPr>
      <w:t xml:space="preserve"> </w:t>
    </w:r>
    <w:r>
      <w:rPr>
        <w:b/>
        <w:sz w:val="16"/>
      </w:rPr>
      <w:t>• NEW ORLEANS</w: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sz w:val="16"/>
      </w:rPr>
      <w:t>3400 Chase Tower, 600 Travis Street, Houston, Texas 77002</w:t>
    </w:r>
  </w:p>
  <w:p>
    <w:pPr>
      <w:pStyle w:val="Normal"/>
      <w:tabs>
        <w:tab w:val="clear" w:pos="720"/>
        <w:tab w:val="center" w:pos="4320" w:leader="none"/>
        <w:tab w:val="right" w:pos="9000" w:leader="none"/>
      </w:tabs>
      <w:ind w:start="-360" w:end="-360"/>
      <w:jc w:val="center"/>
      <w:rPr>
        <w:sz w:val="16"/>
      </w:rPr>
    </w:pPr>
    <w:r>
      <w:rPr>
        <w:sz w:val="16"/>
      </w:rPr>
      <w:t>Telephone: (713) 226-1200 • Fax: (713) 223-3717</w:t>
    </w:r>
  </w:p>
  <w:p>
    <w:pPr>
      <w:pStyle w:val="Footer"/>
      <w:spacing w:lineRule="exact" w:line="200"/>
      <w:rPr>
        <w:sz w:val="12"/>
      </w:rPr>
    </w:pPr>
    <w:r>
      <w:rPr>
        <w:sz w:val="12"/>
      </w:rPr>
    </w:r>
  </w:p>
  <w:p>
    <w:pPr>
      <w:pStyle w:val="Footer"/>
      <w:spacing w:lineRule="exact" w:line="200"/>
      <w:rPr>
        <w:sz w:val="12"/>
      </w:rPr>
    </w:pPr>
    <w:r>
      <w:rPr>
        <w:sz w:val="12"/>
      </w:rPr>
      <w:fldChar w:fldCharType="begin"/>
    </w:r>
    <w:r>
      <w:rPr>
        <w:sz w:val="12"/>
      </w:rPr>
      <w:instrText xml:space="preserve"> DOCPROPERTY "SWDocID"</w:instrText>
    </w:r>
    <w:r>
      <w:rPr>
        <w:sz w:val="12"/>
      </w:rPr>
      <w:fldChar w:fldCharType="separate"/>
    </w:r>
    <w:r>
      <w:rPr>
        <w:sz w:val="12"/>
      </w:rPr>
      <w:t>HOUSTON:910000/40000:484624v2</w:t>
    </w:r>
    <w:r>
      <w:rPr>
        <w:sz w:val="12"/>
      </w:rPr>
      <w:fldChar w:fldCharType="end"/>
    </w:r>
  </w:p>
  <w:p>
    <w:pPr>
      <w:pStyle w:val="Footer"/>
      <w:spacing w:lineRule="exact" w:line="200"/>
      <w:rPr/>
    </w:pPr>
    <w:r>
      <w:rPr/>
      <w:softHyphen/>
      <w:t>HOUSTON 910000/40000 484624v2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z w:val="16"/>
      </w:rPr>
    </w:pPr>
    <w:r>
      <w:rPr>
        <w:b/>
        <w:sz w:val="16"/>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pPr>
    <w:r>
      <w:rPr>
        <w:b/>
        <w:sz w:val="16"/>
      </w:rPr>
      <w:t>AUSTIN • DALLAS • HOUSTON</w:t>
    </w:r>
    <w:r>
      <w:rPr>
        <w:sz w:val="16"/>
      </w:rPr>
      <w:t xml:space="preserve"> </w:t>
    </w:r>
    <w:r>
      <w:rPr>
        <w:b/>
        <w:sz w:val="16"/>
      </w:rPr>
      <w:t>• NEW ORLEANS</w: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16"/>
      </w:rPr>
    </w:pPr>
    <w:r>
      <w:rPr>
        <w:sz w:val="16"/>
      </w:rPr>
      <w:t>3400 Chase Tower, 600 Travis Street, Houston, Texas 77002</w:t>
    </w:r>
  </w:p>
  <w:p>
    <w:pPr>
      <w:pStyle w:val="Normal"/>
      <w:tabs>
        <w:tab w:val="clear" w:pos="720"/>
        <w:tab w:val="center" w:pos="4320" w:leader="none"/>
        <w:tab w:val="right" w:pos="9000" w:leader="none"/>
      </w:tabs>
      <w:ind w:start="-360" w:end="-360"/>
      <w:jc w:val="center"/>
      <w:rPr>
        <w:sz w:val="16"/>
      </w:rPr>
    </w:pPr>
    <w:r>
      <w:rPr>
        <w:sz w:val="16"/>
      </w:rPr>
      <w:t>Telephone: (713) 226-1200 • Fax: (713) 223-3717</w:t>
    </w:r>
  </w:p>
  <w:p>
    <w:pPr>
      <w:pStyle w:val="Footer"/>
      <w:rPr>
        <w:sz w:val="16"/>
      </w:rPr>
    </w:pPr>
    <w:r>
      <w:rPr>
        <w:sz w:val="16"/>
      </w:rPr>
    </w:r>
  </w:p>
  <w:p>
    <w:pPr>
      <w:pStyle w:val="Footer"/>
      <w:rPr/>
    </w:pPr>
    <w:r>
      <w:rPr/>
      <w:fldChar w:fldCharType="begin"/>
    </w:r>
    <w:r>
      <w:rPr/>
      <w:instrText xml:space="preserve"> DOCPROPERTY "SWDocID"</w:instrText>
    </w:r>
    <w:r>
      <w:rPr/>
      <w:fldChar w:fldCharType="separate"/>
    </w:r>
    <w:r>
      <w:rPr/>
      <w:t>HOUSTON:910000/40000:484624v2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rPr>
    </w:pPr>
    <w:r>
      <w:rPr>
        <w:sz w:val="28"/>
        <w:lang w:val="en-CA"/>
      </w:rPr>
      <mc:AlternateContent>
        <mc:Choice Requires="wps">
          <w:drawing>
            <wp:anchor behindDoc="1" distT="0" distB="0" distL="114935" distR="114935" simplePos="0" locked="0" layoutInCell="0" allowOverlap="1" relativeHeight="7">
              <wp:simplePos x="0" y="0"/>
              <wp:positionH relativeFrom="page">
                <wp:posOffset>914400</wp:posOffset>
              </wp:positionH>
              <wp:positionV relativeFrom="paragraph">
                <wp:posOffset>-91440</wp:posOffset>
              </wp:positionV>
              <wp:extent cx="5943600" cy="91440"/>
              <wp:effectExtent l="0" t="0" r="0" b="0"/>
              <wp:wrapNone/>
              <wp:docPr id="1"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7.2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mallCaps/>
        <w:sz w:val="36"/>
      </w:rPr>
    </w:pPr>
    <w:r>
      <w:rPr>
        <w:b/>
        <w:smallCaps/>
        <w:sz w:val="36"/>
      </w:rPr>
      <w:t>Locke Liddell &amp; Sapp LLP</w:t>
    </w:r>
  </w:p>
  <w:p>
    <w:pPr>
      <w:pStyle w:val="Normal"/>
      <w:spacing w:lineRule="exact" w:line="144"/>
      <w:ind w:start="-360" w:end="-360"/>
      <w:jc w:val="center"/>
      <w:rPr>
        <w:b/>
        <w:smallCaps/>
        <w:sz w:val="20"/>
        <w:lang w:val="en-CA"/>
      </w:rPr>
    </w:pPr>
    <w:r>
      <w:rPr>
        <w:b/>
        <w:smallCaps/>
        <w:sz w:val="20"/>
        <w:lang w:val="en-CA"/>
      </w:rP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ragraph">
                <wp:posOffset>635</wp:posOffset>
              </wp:positionV>
              <wp:extent cx="5943600" cy="91440"/>
              <wp:effectExtent l="0" t="0" r="0" b="0"/>
              <wp:wrapNone/>
              <wp:docPr id="2"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680" w:leader="none"/>
      </w:tabs>
      <w:suppressAutoHyphens w:val="true"/>
      <w:jc w:val="center"/>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28"/>
      </w:rPr>
    </w:pPr>
    <w:r>
      <w:rPr>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rPr>
    </w:pPr>
    <w:r>
      <w:rPr>
        <w:sz w:val="28"/>
        <w:lang w:val="en-CA"/>
      </w:rPr>
      <mc:AlternateContent>
        <mc:Choice Requires="wps">
          <w:drawing>
            <wp:anchor behindDoc="1" distT="0" distB="0" distL="114935" distR="114935" simplePos="0" locked="0" layoutInCell="0" allowOverlap="1" relativeHeight="16">
              <wp:simplePos x="0" y="0"/>
              <wp:positionH relativeFrom="page">
                <wp:posOffset>914400</wp:posOffset>
              </wp:positionH>
              <wp:positionV relativeFrom="paragraph">
                <wp:posOffset>-91440</wp:posOffset>
              </wp:positionV>
              <wp:extent cx="5943600" cy="91440"/>
              <wp:effectExtent l="0" t="0" r="0" b="0"/>
              <wp:wrapNone/>
              <wp:docPr id="3"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7.2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mallCaps/>
        <w:sz w:val="36"/>
      </w:rPr>
    </w:pPr>
    <w:r>
      <w:rPr>
        <w:b/>
        <w:smallCaps/>
        <w:sz w:val="36"/>
      </w:rPr>
      <w:t>Locke Liddell &amp; Sapp LLP</w:t>
    </w:r>
  </w:p>
  <w:p>
    <w:pPr>
      <w:pStyle w:val="Normal"/>
      <w:spacing w:lineRule="exact" w:line="144"/>
      <w:ind w:start="-360" w:end="-360"/>
      <w:jc w:val="center"/>
      <w:rPr>
        <w:b/>
        <w:smallCaps/>
        <w:sz w:val="20"/>
        <w:lang w:val="en-CA"/>
      </w:rPr>
    </w:pPr>
    <w:r>
      <w:rPr>
        <w:b/>
        <w:smallCaps/>
        <w:sz w:val="20"/>
        <w:lang w:val="en-CA"/>
      </w:rPr>
      <mc:AlternateContent>
        <mc:Choice Requires="wps">
          <w:drawing>
            <wp:anchor behindDoc="1" distT="0" distB="0" distL="114935" distR="114935" simplePos="0" locked="0" layoutInCell="0" allowOverlap="1" relativeHeight="17">
              <wp:simplePos x="0" y="0"/>
              <wp:positionH relativeFrom="page">
                <wp:posOffset>914400</wp:posOffset>
              </wp:positionH>
              <wp:positionV relativeFrom="paragraph">
                <wp:posOffset>635</wp:posOffset>
              </wp:positionV>
              <wp:extent cx="5943600" cy="91440"/>
              <wp:effectExtent l="0" t="0" r="0" b="0"/>
              <wp:wrapNone/>
              <wp:docPr id="4"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20"/>
      </w:rPr>
    </w:pPr>
    <w:r>
      <w:rPr>
        <w:sz w:val="20"/>
      </w:rPr>
    </w:r>
  </w:p>
  <w:p>
    <w:pPr>
      <w:pStyle w:val="Normal"/>
      <w:tabs>
        <w:tab w:val="clear" w:pos="720"/>
        <w:tab w:val="center" w:pos="4680" w:leader="none"/>
      </w:tabs>
      <w:suppressAutoHyphens w:val="true"/>
      <w:jc w:val="center"/>
      <w:rPr>
        <w:sz w:val="28"/>
      </w:rPr>
    </w:pPr>
    <w:r>
      <w:rPr>
        <w:b/>
        <w:smallCaps/>
        <w:sz w:val="28"/>
      </w:rPr>
      <w:t>Telecommunications Practice</w:t>
    </w:r>
    <w:r>
      <w:rPr>
        <w:b/>
        <w:sz w:val="28"/>
      </w:rPr>
      <w:t xml:space="preserve"> </w:t>
    </w:r>
  </w:p>
  <w:p>
    <w:pPr>
      <w:pStyle w:val="Header"/>
      <w:rPr>
        <w:sz w:val="28"/>
      </w:rPr>
    </w:pPr>
    <w:r>
      <w:rPr>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rPr>
    </w:pPr>
    <w:r>
      <w:rPr>
        <w:sz w:val="28"/>
        <w:lang w:val="en-CA"/>
      </w:rPr>
      <mc:AlternateContent>
        <mc:Choice Requires="wps">
          <w:drawing>
            <wp:anchor behindDoc="1" distT="0" distB="0" distL="114935" distR="114935" simplePos="0" locked="0" layoutInCell="0" allowOverlap="1" relativeHeight="18">
              <wp:simplePos x="0" y="0"/>
              <wp:positionH relativeFrom="page">
                <wp:posOffset>914400</wp:posOffset>
              </wp:positionH>
              <wp:positionV relativeFrom="paragraph">
                <wp:posOffset>-91440</wp:posOffset>
              </wp:positionV>
              <wp:extent cx="5943600" cy="91440"/>
              <wp:effectExtent l="0" t="0" r="0" b="0"/>
              <wp:wrapNone/>
              <wp:docPr id="5"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7.2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mallCaps/>
        <w:sz w:val="36"/>
      </w:rPr>
    </w:pPr>
    <w:r>
      <w:rPr>
        <w:b/>
        <w:smallCaps/>
        <w:sz w:val="36"/>
      </w:rPr>
      <w:t>Locke Liddell &amp; Sapp LLP</w:t>
    </w:r>
  </w:p>
  <w:p>
    <w:pPr>
      <w:pStyle w:val="Normal"/>
      <w:spacing w:lineRule="exact" w:line="144"/>
      <w:ind w:start="-360" w:end="-360"/>
      <w:jc w:val="center"/>
      <w:rPr>
        <w:b/>
        <w:smallCaps/>
        <w:sz w:val="20"/>
        <w:lang w:val="en-CA"/>
      </w:rPr>
    </w:pPr>
    <w:r>
      <w:rPr>
        <w:b/>
        <w:smallCaps/>
        <w:sz w:val="20"/>
        <w:lang w:val="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91440"/>
              <wp:effectExtent l="0" t="0" r="0" b="0"/>
              <wp:wrapNone/>
              <wp:docPr id="6"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680" w:leader="none"/>
      </w:tabs>
      <w:suppressAutoHyphens w:val="true"/>
      <w:jc w:val="center"/>
      <w:rPr>
        <w:sz w:val="28"/>
      </w:rPr>
    </w:pPr>
    <w:r>
      <w:rPr>
        <w:sz w:val="28"/>
      </w:rPr>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28"/>
      </w:rPr>
    </w:pPr>
    <w:r>
      <w:rPr>
        <w:sz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
      <w:ind w:start="-360" w:end="-360"/>
      <w:jc w:val="both"/>
      <w:rPr>
        <w:sz w:val="28"/>
        <w:lang w:val="en-CA"/>
      </w:rPr>
    </w:pPr>
    <w:r>
      <w:rPr>
        <w:sz w:val="28"/>
        <w:lang w:val="en-CA"/>
      </w:rPr>
      <mc:AlternateContent>
        <mc:Choice Requires="wps">
          <w:drawing>
            <wp:anchor behindDoc="1" distT="0" distB="0" distL="114935" distR="114935" simplePos="0" locked="0" layoutInCell="0" allowOverlap="1" relativeHeight="14">
              <wp:simplePos x="0" y="0"/>
              <wp:positionH relativeFrom="page">
                <wp:posOffset>914400</wp:posOffset>
              </wp:positionH>
              <wp:positionV relativeFrom="paragraph">
                <wp:posOffset>-91440</wp:posOffset>
              </wp:positionV>
              <wp:extent cx="5943600" cy="91440"/>
              <wp:effectExtent l="0" t="0" r="0" b="0"/>
              <wp:wrapNone/>
              <wp:docPr id="7"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7.2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b/>
        <w:smallCaps/>
        <w:sz w:val="36"/>
      </w:rPr>
    </w:pPr>
    <w:r>
      <w:rPr>
        <w:b/>
        <w:smallCaps/>
        <w:sz w:val="36"/>
      </w:rPr>
      <w:t>Locke Liddell &amp; Sapp LLP</w:t>
    </w:r>
  </w:p>
  <w:p>
    <w:pPr>
      <w:pStyle w:val="Normal"/>
      <w:spacing w:lineRule="exact" w:line="144"/>
      <w:ind w:start="-360" w:end="-360"/>
      <w:jc w:val="center"/>
      <w:rPr>
        <w:b/>
        <w:smallCaps/>
        <w:sz w:val="20"/>
        <w:lang w:val="en-CA"/>
      </w:rPr>
    </w:pPr>
    <w:r>
      <w:rPr>
        <w:b/>
        <w:smallCaps/>
        <w:sz w:val="20"/>
        <w:lang w:val="en-CA"/>
      </w:rPr>
      <mc:AlternateContent>
        <mc:Choice Requires="wps">
          <w:drawing>
            <wp:anchor behindDoc="1" distT="0" distB="0" distL="114935" distR="114935" simplePos="0" locked="0" layoutInCell="0" allowOverlap="1" relativeHeight="15">
              <wp:simplePos x="0" y="0"/>
              <wp:positionH relativeFrom="page">
                <wp:posOffset>914400</wp:posOffset>
              </wp:positionH>
              <wp:positionV relativeFrom="paragraph">
                <wp:posOffset>635</wp:posOffset>
              </wp:positionV>
              <wp:extent cx="5943600" cy="91440"/>
              <wp:effectExtent l="0" t="0" r="0" b="0"/>
              <wp:wrapNone/>
              <wp:docPr id="8" name=""/>
              <a:graphic xmlns:a="http://schemas.openxmlformats.org/drawingml/2006/main">
                <a:graphicData uri="http://schemas.microsoft.com/office/word/2010/wordprocessingShape">
                  <wps:wsp>
                    <wps:cNvSpPr/>
                    <wps:spPr>
                      <a:xfrm>
                        <a:off x="0" y="0"/>
                        <a:ext cx="59436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7.1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center"/>
      <w:rPr>
        <w:sz w:val="20"/>
      </w:rPr>
    </w:pPr>
    <w:r>
      <w:rPr>
        <w:sz w:val="20"/>
      </w:rPr>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SWDocIDLocation" w:val="1"/>
    <w:docVar w:name="zzmpFixedDOC_ID" w:val="DALLAS:64941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4">
    <w:name w:val="heading 4"/>
    <w:basedOn w:val="Normal"/>
    <w:next w:val="Normal"/>
    <w:qFormat/>
    <w:pPr>
      <w:keepNext w:val="true"/>
      <w:widowControl/>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outlineLvl w:val="3"/>
    </w:pPr>
    <w:rPr>
      <w:b/>
      <w:spacing w:val="-3"/>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kern w:val="2"/>
      <w:position w:val="0"/>
      <w:sz w:val="16"/>
      <w:sz w:val="16"/>
      <w:u w:val="none"/>
      <w:effect w:val="blinkBackground"/>
      <w:vertAlign w:val="baseline"/>
      <w:lang w:val="en-CA" w:eastAsia="en-CA"/>
    </w:rPr>
  </w:style>
  <w:style w:type="character" w:styleId="PathID">
    <w:name w:val="PathID"/>
    <w:basedOn w:val="DefaultParagraphFont"/>
    <w:qFormat/>
    <w:rPr>
      <w:rFonts w:ascii="Times New Roman" w:hAnsi="Times New Roman" w:cs="Times New Roman"/>
      <w:spacing w:val="-3"/>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640" w:leader="dot"/>
      </w:tabs>
      <w:ind w:hanging="720" w:start="720" w:end="1440"/>
    </w:pPr>
    <w:rPr/>
  </w:style>
  <w:style w:type="paragraph" w:styleId="TOC2">
    <w:name w:val="toc 2"/>
    <w:basedOn w:val="Normal"/>
    <w:next w:val="Normal"/>
    <w:pPr>
      <w:tabs>
        <w:tab w:val="clear" w:pos="720"/>
        <w:tab w:val="right" w:pos="8640" w:leader="dot"/>
      </w:tabs>
      <w:ind w:hanging="720" w:start="1440" w:end="1440"/>
    </w:pPr>
    <w:rPr/>
  </w:style>
  <w:style w:type="paragraph" w:styleId="TOC3">
    <w:name w:val="toc 3"/>
    <w:basedOn w:val="Normal"/>
    <w:next w:val="Normal"/>
    <w:pPr>
      <w:tabs>
        <w:tab w:val="clear" w:pos="720"/>
        <w:tab w:val="right" w:pos="8640" w:leader="dot"/>
      </w:tabs>
      <w:ind w:hanging="720" w:start="2160" w:end="1440"/>
    </w:pPr>
    <w:rPr/>
  </w:style>
  <w:style w:type="paragraph" w:styleId="TOC4">
    <w:name w:val="toc 4"/>
    <w:basedOn w:val="Normal"/>
    <w:next w:val="Normal"/>
    <w:pPr>
      <w:tabs>
        <w:tab w:val="clear" w:pos="720"/>
        <w:tab w:val="right" w:pos="8640" w:leader="dot"/>
      </w:tabs>
      <w:ind w:hanging="720" w:start="2880" w:end="1440"/>
    </w:pPr>
    <w:rPr/>
  </w:style>
  <w:style w:type="paragraph" w:styleId="TOC5">
    <w:name w:val="toc 5"/>
    <w:basedOn w:val="Normal"/>
    <w:next w:val="Normal"/>
    <w:pPr>
      <w:tabs>
        <w:tab w:val="clear" w:pos="720"/>
        <w:tab w:val="right" w:pos="8640" w:leader="dot"/>
      </w:tabs>
      <w:ind w:hanging="720" w:start="360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DocumentMap">
    <w:name w:val="Document Map"/>
    <w:basedOn w:val="Normal"/>
    <w:qFormat/>
    <w:pPr>
      <w:shd w:fill="000080" w:val="clear"/>
    </w:pPr>
    <w:rPr>
      <w:rFonts w:ascii="Tahoma" w:hAnsi="Tahoma" w:cs="Tahoma"/>
    </w:rPr>
  </w:style>
  <w:style w:type="paragraph" w:styleId="LetterhdFont">
    <w:name w:val="LetterhdFont"/>
    <w:basedOn w:val="Normal"/>
    <w:next w:val="Normal"/>
    <w:qFormat/>
    <w:pPr>
      <w:widowControl/>
      <w:jc w:val="end"/>
    </w:pPr>
    <w:rPr>
      <w:rFonts w:ascii="Garamond" w:hAnsi="Garamond" w:cs="Garamond"/>
      <w:spacing w:val="-3"/>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pacing w:val="-3"/>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pacing w:val="-3"/>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2000-09-06T10:28:00Z</dcterms:created>
  <dc:creator>Systems &amp; Technology</dc:creator>
  <dc:description/>
  <dc:language>en-CA</dc:language>
  <cp:lastModifiedBy>Locke Liddell &amp; Sapp LLP</cp:lastModifiedBy>
  <cp:lastPrinted>2001-05-25T13:05:00Z</cp:lastPrinted>
  <dcterms:modified xsi:type="dcterms:W3CDTF">2001-05-25T15:36:00Z</dcterms:modified>
  <cp:revision>39</cp:revision>
  <dc:subject/>
  <dc:title>The merger of Locke Purnell Rain Harrell and Liddell, Sapp, Zivley, Hill &amp; LaBoon has created a major new force on the legal landscape of Texas and Louisiana, the Southwest and the nation, with substantial additions to the capabilities of our firm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10-May-1999</vt:lpwstr>
  </property>
  <property fmtid="{D5CDD505-2E9C-101B-9397-08002B2CF9AE}" pid="3" name="Converted State">
    <vt:lpwstr>True</vt:lpwstr>
  </property>
  <property fmtid="{D5CDD505-2E9C-101B-9397-08002B2CF9AE}" pid="4" name="Original File">
    <vt:lpwstr>::ODMA\PCDOCS\DALLAS\426262\1</vt:lpwstr>
  </property>
  <property fmtid="{D5CDD505-2E9C-101B-9397-08002B2CF9AE}" pid="5" name="SWDocID">
    <vt:lpwstr>HOUSTON:910000/40000:484624v2</vt:lpwstr>
  </property>
</Properties>
</file>