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EDWARD C. “TED” BOCKIUS</w:t>
      </w:r>
    </w:p>
    <w:p>
      <w:pPr>
        <w:pStyle w:val="Normal"/>
        <w:jc w:val="center"/>
        <w:rPr>
          <w:sz w:val="22"/>
        </w:rPr>
      </w:pPr>
      <w:r>
        <w:rPr>
          <w:sz w:val="22"/>
        </w:rPr>
        <w:t>1322 Rutland Street</w:t>
      </w:r>
    </w:p>
    <w:p>
      <w:pPr>
        <w:pStyle w:val="Normal"/>
        <w:jc w:val="center"/>
        <w:rPr>
          <w:sz w:val="22"/>
        </w:rPr>
      </w:pPr>
      <w:r>
        <w:rPr>
          <w:sz w:val="22"/>
        </w:rPr>
        <w:t>Houston, TX 77008</w:t>
      </w:r>
    </w:p>
    <w:p>
      <w:pPr>
        <w:pStyle w:val="Normal"/>
        <w:jc w:val="center"/>
        <w:rPr>
          <w:sz w:val="22"/>
        </w:rPr>
      </w:pPr>
      <w:r>
        <w:rPr>
          <w:sz w:val="22"/>
        </w:rPr>
        <w:t>(713) 863-1677 home</w:t>
      </w:r>
    </w:p>
    <w:p>
      <w:pPr>
        <w:pStyle w:val="Normal"/>
        <w:jc w:val="center"/>
        <w:rPr>
          <w:sz w:val="22"/>
        </w:rPr>
      </w:pPr>
      <w:r>
        <w:rPr>
          <w:sz w:val="22"/>
        </w:rPr>
        <w:t>(832) 590-7421 work</w:t>
      </w:r>
    </w:p>
    <w:p>
      <w:pPr>
        <w:pStyle w:val="Normal"/>
        <w:jc w:val="center"/>
        <w:rPr>
          <w:sz w:val="22"/>
        </w:rPr>
      </w:pPr>
      <w:hyperlink r:id="rId2">
        <w:r>
          <w:rPr>
            <w:rStyle w:val="Hyperlink"/>
            <w:sz w:val="22"/>
          </w:rPr>
          <w:t>tbockius@aol.com</w:t>
        </w:r>
      </w:hyperlink>
    </w:p>
    <w:p>
      <w:pPr>
        <w:pStyle w:val="Normal"/>
        <w:rPr>
          <w:sz w:val="22"/>
        </w:rPr>
      </w:pPr>
      <w:r>
        <w:rPr>
          <w:sz w:val="22"/>
        </w:rPr>
      </w:r>
    </w:p>
    <w:p>
      <w:pPr>
        <w:pStyle w:val="Heading1"/>
        <w:rPr/>
      </w:pPr>
      <w:r>
        <w:rPr/>
        <w:t>EXPERIENCE</w:t>
      </w:r>
    </w:p>
    <w:p>
      <w:pPr>
        <w:pStyle w:val="Heading3"/>
        <w:ind w:hanging="0" w:start="0"/>
        <w:rPr>
          <w:sz w:val="22"/>
        </w:rPr>
      </w:pPr>
      <w:r>
        <w:rPr>
          <w:sz w:val="22"/>
        </w:rPr>
        <w:t xml:space="preserve"> </w:t>
      </w:r>
    </w:p>
    <w:p>
      <w:pPr>
        <w:pStyle w:val="Heading2"/>
        <w:ind w:hanging="0" w:start="0" w:end="0"/>
        <w:rPr/>
      </w:pPr>
      <w:r>
        <w:rPr/>
        <w:t>iVita Corporation, Houston, Texas</w:t>
        <w:tab/>
        <w:tab/>
        <w:tab/>
        <w:tab/>
        <w:tab/>
      </w:r>
      <w:r>
        <w:rPr>
          <w:b w:val="false"/>
          <w:bCs w:val="false"/>
        </w:rPr>
        <w:t>February 2000 – Present</w:t>
      </w:r>
    </w:p>
    <w:p>
      <w:pPr>
        <w:pStyle w:val="Normal"/>
        <w:rPr/>
      </w:pPr>
      <w:r>
        <w:rPr>
          <w:b/>
          <w:bCs/>
          <w:sz w:val="22"/>
        </w:rPr>
        <w:t>Director of Corporate Communications</w:t>
      </w:r>
      <w:r>
        <w:rPr>
          <w:sz w:val="22"/>
        </w:rPr>
        <w:t xml:space="preserve"> – iVita is a private company that provides a Web-based application and offers professional services that enable companies to manage their operating and information technology assets with greater precision.  Responsibilities include overseeing all public relations, investor relations and industry analyst relations, selecting PR agencies and establishing corporate disclosure and financial forecasting policies. </w:t>
      </w:r>
    </w:p>
    <w:p>
      <w:pPr>
        <w:pStyle w:val="Normal"/>
        <w:numPr>
          <w:ilvl w:val="0"/>
          <w:numId w:val="4"/>
        </w:numPr>
        <w:tabs>
          <w:tab w:val="clear" w:pos="720"/>
          <w:tab w:val="left" w:pos="360" w:leader="none"/>
        </w:tabs>
        <w:ind w:hanging="360" w:start="360" w:end="0"/>
        <w:rPr>
          <w:sz w:val="22"/>
        </w:rPr>
      </w:pPr>
      <w:r>
        <w:rPr>
          <w:sz w:val="22"/>
        </w:rPr>
        <w:t>Developed iVita’s public relations, industry analyst relations and investor relations plans and timelines in a coordinated manner to take iVita from an early-stage private company to a post-IPO publicly traded company.</w:t>
      </w:r>
    </w:p>
    <w:p>
      <w:pPr>
        <w:pStyle w:val="Normal"/>
        <w:numPr>
          <w:ilvl w:val="0"/>
          <w:numId w:val="4"/>
        </w:numPr>
        <w:tabs>
          <w:tab w:val="clear" w:pos="720"/>
          <w:tab w:val="left" w:pos="360" w:leader="none"/>
        </w:tabs>
        <w:ind w:hanging="360" w:start="360" w:end="0"/>
        <w:rPr>
          <w:sz w:val="22"/>
        </w:rPr>
      </w:pPr>
      <w:r>
        <w:rPr>
          <w:sz w:val="22"/>
        </w:rPr>
        <w:t xml:space="preserve">Revised iVita’s messages and external financial forecasts, which resulted in the company being better received by the press, industry analysts and the financial community.  iVita has been prominently featured in national newspapers, wire services and industry analyst reports.  This coverage has contributed to significantly increased sales leads.     </w:t>
      </w:r>
    </w:p>
    <w:p>
      <w:pPr>
        <w:pStyle w:val="Normal"/>
        <w:numPr>
          <w:ilvl w:val="0"/>
          <w:numId w:val="5"/>
        </w:numPr>
        <w:tabs>
          <w:tab w:val="clear" w:pos="720"/>
          <w:tab w:val="left" w:pos="360" w:leader="none"/>
        </w:tabs>
        <w:ind w:hanging="360" w:start="360" w:end="0"/>
        <w:rPr>
          <w:sz w:val="22"/>
        </w:rPr>
      </w:pPr>
      <w:r>
        <w:rPr>
          <w:sz w:val="22"/>
        </w:rPr>
        <w:t xml:space="preserve">Conducted an aggressive analyst relations program, which led to extremely positive reports and customer and partner leads from Forrester Research and AMR Research.  </w:t>
      </w:r>
    </w:p>
    <w:p>
      <w:pPr>
        <w:pStyle w:val="Normal"/>
        <w:ind w:hanging="1620" w:start="900" w:end="0"/>
        <w:rPr>
          <w:sz w:val="22"/>
        </w:rPr>
      </w:pPr>
      <w:r>
        <w:rPr>
          <w:sz w:val="22"/>
        </w:rPr>
      </w:r>
    </w:p>
    <w:p>
      <w:pPr>
        <w:pStyle w:val="Normal"/>
        <w:ind w:hanging="720" w:end="0"/>
        <w:rPr>
          <w:b/>
          <w:bCs/>
          <w:sz w:val="22"/>
        </w:rPr>
      </w:pPr>
      <w:r>
        <w:rPr>
          <w:sz w:val="22"/>
        </w:rPr>
        <w:tab/>
      </w:r>
      <w:r>
        <w:rPr>
          <w:b/>
          <w:bCs/>
          <w:sz w:val="22"/>
        </w:rPr>
        <w:t xml:space="preserve">Compaq Computer Corporation, Houston, Texas </w:t>
        <w:tab/>
        <w:tab/>
        <w:tab/>
      </w:r>
      <w:r>
        <w:rPr>
          <w:sz w:val="22"/>
        </w:rPr>
        <w:t>January 1997 – February 2000</w:t>
      </w:r>
    </w:p>
    <w:p>
      <w:pPr>
        <w:pStyle w:val="BodyTextIndent2"/>
        <w:ind w:hanging="720" w:start="0" w:end="0"/>
        <w:rPr/>
      </w:pPr>
      <w:r>
        <w:rPr/>
        <w:tab/>
      </w:r>
      <w:r>
        <w:rPr>
          <w:b/>
          <w:bCs/>
        </w:rPr>
        <w:t xml:space="preserve">Financial Analyst, Investor Relations Department, </w:t>
      </w:r>
      <w:r>
        <w:rPr/>
        <w:t>June 1999 – February 2000</w:t>
        <w:tab/>
      </w:r>
    </w:p>
    <w:p>
      <w:pPr>
        <w:pStyle w:val="BodyTextIndent2"/>
        <w:ind w:hanging="0" w:start="0" w:end="0"/>
        <w:rPr/>
      </w:pPr>
      <w:r>
        <w:rPr/>
        <w:t xml:space="preserve">Assisted the CFO and Vice President of Investor Relations in briefing sell-side financial analysts to help them build their financial models for this $40 billion computer and professional services company.  </w:t>
      </w:r>
    </w:p>
    <w:p>
      <w:pPr>
        <w:pStyle w:val="BodyTextIndent2"/>
        <w:numPr>
          <w:ilvl w:val="0"/>
          <w:numId w:val="9"/>
        </w:numPr>
        <w:tabs>
          <w:tab w:val="clear" w:pos="720"/>
          <w:tab w:val="left" w:pos="360" w:leader="none"/>
        </w:tabs>
        <w:ind w:hanging="360" w:start="360" w:end="0"/>
        <w:rPr/>
      </w:pPr>
      <w:r>
        <w:rPr/>
        <w:t>Scanned First Call, Bloomberg and other information resources for financial analyst reports and business news of interest to the company.  Wrote and distributed summaries of this information to the board of directors and 700 of the company’s senior managers twice daily.  Prepared in-depth analysis of financial analyst reports for the board of directors meetings.</w:t>
      </w:r>
    </w:p>
    <w:p>
      <w:pPr>
        <w:pStyle w:val="BodyTextIndent2"/>
        <w:numPr>
          <w:ilvl w:val="0"/>
          <w:numId w:val="2"/>
        </w:numPr>
        <w:tabs>
          <w:tab w:val="clear" w:pos="720"/>
          <w:tab w:val="left" w:pos="360" w:leader="none"/>
        </w:tabs>
        <w:ind w:hanging="360" w:start="360" w:end="0"/>
        <w:rPr/>
      </w:pPr>
      <w:r>
        <w:rPr/>
        <w:t xml:space="preserve">Developed the commentary on Compaq’s performance and business outlook that was used in the company’s quarterly earnings conference calls and press releases. </w:t>
      </w:r>
    </w:p>
    <w:p>
      <w:pPr>
        <w:pStyle w:val="BodyTextIndent2"/>
        <w:numPr>
          <w:ilvl w:val="0"/>
          <w:numId w:val="9"/>
        </w:numPr>
        <w:tabs>
          <w:tab w:val="clear" w:pos="720"/>
          <w:tab w:val="left" w:pos="360" w:leader="none"/>
        </w:tabs>
        <w:ind w:hanging="360" w:start="360" w:end="0"/>
        <w:rPr/>
      </w:pPr>
      <w:r>
        <w:rPr/>
        <w:t>Surveyed financial and operating metrics used by competitors and convinced others within the company to make additional data public on the services component of Consumer Business Unit’s revenue.  This disclosure was noted in financial analyst reports as a positive move for the company, because this revenue stream was growing quickly and had a higher margin than hardware.</w:t>
      </w:r>
    </w:p>
    <w:p>
      <w:pPr>
        <w:pStyle w:val="BodyTextIndent2"/>
        <w:numPr>
          <w:ilvl w:val="0"/>
          <w:numId w:val="9"/>
        </w:numPr>
        <w:tabs>
          <w:tab w:val="clear" w:pos="720"/>
          <w:tab w:val="left" w:pos="360" w:leader="none"/>
        </w:tabs>
        <w:ind w:hanging="360" w:start="360" w:end="0"/>
        <w:rPr/>
      </w:pPr>
      <w:r>
        <w:rPr/>
        <w:t>Served on a team that began segment reporting Compaq’s results by business unit instead of geography.  This increased visibility on the operating profits of Compaq’s businesses was well received by the sell-side analyst community and corrected misperceptions about some of the company’s business units.</w:t>
      </w:r>
    </w:p>
    <w:p>
      <w:pPr>
        <w:pStyle w:val="BodyTextIndent2"/>
        <w:ind w:hanging="720" w:start="0" w:end="0"/>
        <w:rPr/>
      </w:pPr>
      <w:r>
        <w:rPr/>
        <w:t xml:space="preserve">  </w:t>
      </w:r>
      <w:r>
        <w:rPr/>
        <w:tab/>
      </w:r>
    </w:p>
    <w:p>
      <w:pPr>
        <w:pStyle w:val="BodyText"/>
        <w:rPr/>
      </w:pPr>
      <w:r>
        <w:rPr/>
        <w:t xml:space="preserve">Manager of Enterprise Public Relations, </w:t>
      </w:r>
      <w:r>
        <w:rPr>
          <w:b w:val="false"/>
          <w:bCs w:val="false"/>
        </w:rPr>
        <w:t>October 1998 – June 1999</w:t>
      </w:r>
    </w:p>
    <w:p>
      <w:pPr>
        <w:pStyle w:val="Normal"/>
        <w:rPr>
          <w:sz w:val="22"/>
        </w:rPr>
      </w:pPr>
      <w:r>
        <w:rPr>
          <w:sz w:val="22"/>
        </w:rPr>
        <w:t xml:space="preserve">Managed public relations for Compaq’s $20 billion Enterprise Solutions and Services Group, which accounted for nearly all of Compaq’s operating profit.  Supervised the work of nine public relations professionals and managed an annual agency budget of $4 million.  </w:t>
      </w:r>
    </w:p>
    <w:p>
      <w:pPr>
        <w:pStyle w:val="Normal"/>
        <w:numPr>
          <w:ilvl w:val="0"/>
          <w:numId w:val="7"/>
        </w:numPr>
        <w:tabs>
          <w:tab w:val="clear" w:pos="720"/>
          <w:tab w:val="left" w:pos="360" w:leader="none"/>
        </w:tabs>
        <w:ind w:hanging="360" w:start="360" w:end="0"/>
        <w:rPr>
          <w:sz w:val="22"/>
        </w:rPr>
      </w:pPr>
      <w:r>
        <w:rPr>
          <w:sz w:val="22"/>
        </w:rPr>
        <w:t>Integrated the public relations processes of Digital and Tandem after Compaq acquired these companies.  As a result of these integration efforts, the Enterprise PR team became a nimble organization that could act quickly and with unity.</w:t>
      </w:r>
    </w:p>
    <w:p>
      <w:pPr>
        <w:pStyle w:val="Normal"/>
        <w:numPr>
          <w:ilvl w:val="0"/>
          <w:numId w:val="7"/>
        </w:numPr>
        <w:tabs>
          <w:tab w:val="clear" w:pos="720"/>
          <w:tab w:val="left" w:pos="360" w:leader="none"/>
        </w:tabs>
        <w:ind w:hanging="360" w:start="360" w:end="0"/>
        <w:rPr>
          <w:sz w:val="22"/>
        </w:rPr>
      </w:pPr>
      <w:r>
        <w:rPr>
          <w:sz w:val="22"/>
        </w:rPr>
        <w:t>Revised the press release approval processes that were slowing down the approval of press releases and causing dissatisfaction among internal clients.  New processes resulted in shorter cycle times and higher levels of client satisfaction.</w:t>
      </w:r>
    </w:p>
    <w:p>
      <w:pPr>
        <w:pStyle w:val="Normal"/>
        <w:rPr>
          <w:sz w:val="22"/>
        </w:rPr>
      </w:pPr>
      <w:r>
        <w:rPr>
          <w:sz w:val="22"/>
        </w:rPr>
      </w:r>
    </w:p>
    <w:p>
      <w:pPr>
        <w:pStyle w:val="Normal"/>
        <w:rPr>
          <w:sz w:val="22"/>
        </w:rPr>
      </w:pPr>
      <w:r>
        <w:rPr>
          <w:sz w:val="22"/>
        </w:rPr>
      </w:r>
    </w:p>
    <w:p>
      <w:pPr>
        <w:pStyle w:val="BodyText2"/>
        <w:rPr/>
      </w:pPr>
      <w:r>
        <w:rPr/>
        <w:t xml:space="preserve"> </w:t>
      </w:r>
      <w:r>
        <w:rPr/>
        <w:tab/>
        <w:t xml:space="preserve"> </w:t>
      </w:r>
    </w:p>
    <w:p>
      <w:pPr>
        <w:pStyle w:val="Normal"/>
        <w:rPr>
          <w:sz w:val="22"/>
        </w:rPr>
      </w:pPr>
      <w:r>
        <w:rPr>
          <w:sz w:val="22"/>
        </w:rPr>
        <w:t xml:space="preserve">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5"/>
        <w:ind w:hanging="0" w:start="0"/>
        <w:jc w:val="start"/>
        <w:rPr/>
      </w:pPr>
      <w:r>
        <w:rPr>
          <w:sz w:val="22"/>
        </w:rPr>
        <w:t>EDWARD C. “TED” BOCKIUS</w:t>
      </w:r>
      <w:r>
        <w:rPr>
          <w:b w:val="false"/>
          <w:bCs w:val="false"/>
          <w:sz w:val="22"/>
        </w:rPr>
        <w:t>,</w:t>
      </w:r>
      <w:r>
        <w:rPr>
          <w:sz w:val="22"/>
        </w:rPr>
        <w:t xml:space="preserve"> </w:t>
      </w:r>
      <w:r>
        <w:rPr>
          <w:b w:val="false"/>
          <w:bCs w:val="false"/>
          <w:sz w:val="22"/>
        </w:rPr>
        <w:t>page two</w:t>
      </w:r>
    </w:p>
    <w:p>
      <w:pPr>
        <w:pStyle w:val="Normal"/>
        <w:rPr>
          <w:b/>
          <w:bCs/>
          <w:sz w:val="22"/>
        </w:rPr>
      </w:pPr>
      <w:r>
        <w:rPr>
          <w:b/>
          <w:bCs/>
          <w:sz w:val="22"/>
        </w:rPr>
      </w:r>
    </w:p>
    <w:p>
      <w:pPr>
        <w:pStyle w:val="Heading4"/>
        <w:ind w:hanging="0" w:end="0"/>
        <w:rPr/>
      </w:pPr>
      <w:r>
        <w:rPr/>
        <w:t xml:space="preserve">Server and Solutions Public Relations Manager, </w:t>
      </w:r>
      <w:r>
        <w:rPr>
          <w:b w:val="false"/>
          <w:bCs w:val="false"/>
        </w:rPr>
        <w:t>January 1997 – October 1998</w:t>
      </w:r>
    </w:p>
    <w:p>
      <w:pPr>
        <w:pStyle w:val="Normal"/>
        <w:rPr>
          <w:sz w:val="22"/>
        </w:rPr>
      </w:pPr>
      <w:r>
        <w:rPr>
          <w:sz w:val="22"/>
        </w:rPr>
        <w:t xml:space="preserve">Managed public relations activity for Compaq’s $10 billion Industry Standard Server and Solutions Divisions.  </w:t>
      </w:r>
    </w:p>
    <w:p>
      <w:pPr>
        <w:pStyle w:val="Normal"/>
        <w:numPr>
          <w:ilvl w:val="0"/>
          <w:numId w:val="6"/>
        </w:numPr>
        <w:tabs>
          <w:tab w:val="clear" w:pos="720"/>
          <w:tab w:val="left" w:pos="360" w:leader="none"/>
        </w:tabs>
        <w:ind w:hanging="360" w:start="360" w:end="0"/>
        <w:rPr>
          <w:sz w:val="22"/>
        </w:rPr>
      </w:pPr>
      <w:r>
        <w:rPr>
          <w:sz w:val="22"/>
        </w:rPr>
        <w:t>News coverage analyzed by an external vendor indicated that Compaq received a greater volume of news coverage and more positive coverage than any of its competitors.</w:t>
      </w:r>
    </w:p>
    <w:p>
      <w:pPr>
        <w:pStyle w:val="Normal"/>
        <w:numPr>
          <w:ilvl w:val="0"/>
          <w:numId w:val="6"/>
        </w:numPr>
        <w:tabs>
          <w:tab w:val="clear" w:pos="720"/>
          <w:tab w:val="left" w:pos="360" w:leader="none"/>
        </w:tabs>
        <w:ind w:hanging="360" w:start="360" w:end="0"/>
        <w:rPr>
          <w:sz w:val="22"/>
        </w:rPr>
      </w:pPr>
      <w:r>
        <w:rPr>
          <w:sz w:val="22"/>
        </w:rPr>
        <w:t>Worked with the corporate media relations department to prominently position the server business in earnings, market share and other corporate announcements.</w:t>
      </w:r>
    </w:p>
    <w:p>
      <w:pPr>
        <w:pStyle w:val="Normal"/>
        <w:rPr>
          <w:sz w:val="22"/>
        </w:rPr>
      </w:pPr>
      <w:r>
        <w:rPr>
          <w:sz w:val="22"/>
        </w:rPr>
      </w:r>
    </w:p>
    <w:p>
      <w:pPr>
        <w:pStyle w:val="Normal"/>
        <w:ind w:hanging="720" w:end="0"/>
        <w:rPr>
          <w:b/>
          <w:bCs/>
          <w:sz w:val="22"/>
        </w:rPr>
      </w:pPr>
      <w:r>
        <w:rPr>
          <w:sz w:val="22"/>
        </w:rPr>
        <w:tab/>
      </w:r>
      <w:r>
        <w:rPr>
          <w:b/>
          <w:bCs/>
          <w:sz w:val="22"/>
        </w:rPr>
        <w:t>Texas Instruments, Dallas, Texas</w:t>
        <w:tab/>
        <w:tab/>
        <w:tab/>
        <w:tab/>
        <w:tab/>
      </w:r>
      <w:r>
        <w:rPr>
          <w:sz w:val="22"/>
        </w:rPr>
        <w:t>November 1995 – January 1997</w:t>
      </w:r>
    </w:p>
    <w:p>
      <w:pPr>
        <w:pStyle w:val="BodyTextIndent3"/>
        <w:rPr/>
      </w:pPr>
      <w:r>
        <w:rPr/>
        <w:tab/>
      </w:r>
      <w:r>
        <w:rPr>
          <w:b/>
          <w:bCs/>
        </w:rPr>
        <w:t xml:space="preserve">Media Relations Manager </w:t>
      </w:r>
      <w:r>
        <w:rPr/>
        <w:t>– Responsibilities included planning and implementing public relations and industry analyst relations programs for this $12 billion semiconductor company.</w:t>
      </w:r>
    </w:p>
    <w:p>
      <w:pPr>
        <w:pStyle w:val="BodyTextIndent3"/>
        <w:numPr>
          <w:ilvl w:val="0"/>
          <w:numId w:val="7"/>
        </w:numPr>
        <w:tabs>
          <w:tab w:val="clear" w:pos="720"/>
          <w:tab w:val="left" w:pos="360" w:leader="none"/>
        </w:tabs>
        <w:ind w:hanging="360" w:start="360" w:end="0"/>
        <w:rPr/>
      </w:pPr>
      <w:r>
        <w:rPr/>
        <w:t>Successfully managed the company’s exit from the microprocessor business by taking steps to minimize press and analyst coverage.</w:t>
      </w:r>
    </w:p>
    <w:p>
      <w:pPr>
        <w:pStyle w:val="BodyTextIndent3"/>
        <w:numPr>
          <w:ilvl w:val="0"/>
          <w:numId w:val="7"/>
        </w:numPr>
        <w:tabs>
          <w:tab w:val="clear" w:pos="720"/>
          <w:tab w:val="left" w:pos="360" w:leader="none"/>
        </w:tabs>
        <w:ind w:hanging="360" w:start="360" w:end="0"/>
        <w:rPr/>
      </w:pPr>
      <w:r>
        <w:rPr/>
        <w:t>Obtained positive product reviews in electrical engineering trade publications that were reprinted and used as marketing material with customers.</w:t>
      </w:r>
    </w:p>
    <w:p>
      <w:pPr>
        <w:pStyle w:val="Normal"/>
        <w:ind w:hanging="720" w:end="0"/>
        <w:rPr>
          <w:sz w:val="22"/>
        </w:rPr>
      </w:pPr>
      <w:r>
        <w:rPr>
          <w:sz w:val="22"/>
        </w:rPr>
      </w:r>
    </w:p>
    <w:p>
      <w:pPr>
        <w:pStyle w:val="Normal"/>
        <w:ind w:hanging="720" w:end="0"/>
        <w:rPr>
          <w:b/>
          <w:bCs/>
          <w:sz w:val="22"/>
        </w:rPr>
      </w:pPr>
      <w:r>
        <w:rPr>
          <w:sz w:val="22"/>
        </w:rPr>
        <w:tab/>
      </w:r>
      <w:r>
        <w:rPr>
          <w:b/>
          <w:bCs/>
          <w:sz w:val="22"/>
        </w:rPr>
        <w:t>Manning, Selvage &amp; Lee, New York, New York</w:t>
        <w:tab/>
        <w:tab/>
        <w:tab/>
      </w:r>
      <w:r>
        <w:rPr>
          <w:sz w:val="22"/>
        </w:rPr>
        <w:t>June 1994 – November 1995</w:t>
      </w:r>
    </w:p>
    <w:p>
      <w:pPr>
        <w:pStyle w:val="Normal"/>
        <w:ind w:hanging="720" w:end="0"/>
        <w:rPr/>
      </w:pPr>
      <w:r>
        <w:rPr>
          <w:sz w:val="22"/>
        </w:rPr>
        <w:tab/>
      </w:r>
      <w:r>
        <w:rPr>
          <w:b/>
          <w:bCs/>
          <w:sz w:val="22"/>
        </w:rPr>
        <w:t>Account Supervisor</w:t>
      </w:r>
      <w:r>
        <w:rPr>
          <w:sz w:val="22"/>
        </w:rPr>
        <w:t xml:space="preserve"> – Responsibilities included managing a team of five on the IBM Consulting, GTE, LEXIS-NEXIS, Intuit and AlliedSignal accounts for this top-15 global PR agency.  Made billing forecasts and managed budgets on accounts.</w:t>
      </w:r>
    </w:p>
    <w:p>
      <w:pPr>
        <w:pStyle w:val="Normal"/>
        <w:numPr>
          <w:ilvl w:val="0"/>
          <w:numId w:val="3"/>
        </w:numPr>
        <w:tabs>
          <w:tab w:val="clear" w:pos="720"/>
          <w:tab w:val="left" w:pos="360" w:leader="none"/>
        </w:tabs>
        <w:ind w:hanging="360" w:start="360" w:end="0"/>
        <w:rPr>
          <w:sz w:val="22"/>
        </w:rPr>
      </w:pPr>
      <w:r>
        <w:rPr>
          <w:sz w:val="22"/>
        </w:rPr>
        <w:t>Managed four accounts with over $600,000 in annual billings.</w:t>
      </w:r>
    </w:p>
    <w:p>
      <w:pPr>
        <w:pStyle w:val="Normal"/>
        <w:rPr>
          <w:sz w:val="22"/>
        </w:rPr>
      </w:pPr>
      <w:r>
        <w:rPr>
          <w:sz w:val="22"/>
        </w:rPr>
        <w:tab/>
        <w:t xml:space="preserve"> </w:t>
      </w:r>
    </w:p>
    <w:p>
      <w:pPr>
        <w:pStyle w:val="Normal"/>
        <w:ind w:hanging="720" w:end="0"/>
        <w:rPr/>
      </w:pPr>
      <w:r>
        <w:rPr>
          <w:sz w:val="22"/>
        </w:rPr>
        <w:tab/>
      </w:r>
      <w:r>
        <w:rPr>
          <w:b/>
          <w:bCs/>
          <w:sz w:val="22"/>
        </w:rPr>
        <w:t>Amoco Corporation, Baltimore, Maryland</w:t>
        <w:tab/>
        <w:tab/>
        <w:tab/>
        <w:tab/>
      </w:r>
      <w:r>
        <w:rPr>
          <w:sz w:val="22"/>
        </w:rPr>
        <w:t>June 1990 – October 1992</w:t>
      </w:r>
    </w:p>
    <w:p>
      <w:pPr>
        <w:pStyle w:val="Normal"/>
        <w:ind w:hanging="720" w:end="0"/>
        <w:rPr/>
      </w:pPr>
      <w:r>
        <w:rPr>
          <w:sz w:val="22"/>
        </w:rPr>
        <w:t xml:space="preserve"> </w:t>
      </w:r>
      <w:r>
        <w:rPr>
          <w:sz w:val="22"/>
        </w:rPr>
        <w:tab/>
      </w:r>
      <w:r>
        <w:rPr>
          <w:b/>
          <w:bCs/>
          <w:sz w:val="22"/>
        </w:rPr>
        <w:t xml:space="preserve">Assistant Public Affairs Advisor – </w:t>
      </w:r>
      <w:r>
        <w:rPr>
          <w:sz w:val="22"/>
        </w:rPr>
        <w:t>Responsibilities at this multi-billion dollar global energy company, now part of BP, included serving as the press and crisis communications contact for the Northeast region of the country and handling communications of one refinery, two chemical plants and numerous oil terminals.  Developed emergency communications plans for these facilities and lead a team in responding to media requests resulting from accidents, fines, oil spills and leaks.</w:t>
      </w:r>
    </w:p>
    <w:p>
      <w:pPr>
        <w:pStyle w:val="Normal"/>
        <w:numPr>
          <w:ilvl w:val="0"/>
          <w:numId w:val="8"/>
        </w:numPr>
        <w:tabs>
          <w:tab w:val="clear" w:pos="720"/>
          <w:tab w:val="left" w:pos="360" w:leader="none"/>
        </w:tabs>
        <w:ind w:hanging="360" w:start="360" w:end="0"/>
        <w:rPr>
          <w:sz w:val="22"/>
        </w:rPr>
      </w:pPr>
      <w:r>
        <w:rPr>
          <w:sz w:val="22"/>
        </w:rPr>
        <w:t>Served as primary media contact for one or more instances of employee fatality, leakage of product under a nearby community, EPA fines at a refinery and reductions in force.  Built strong relationships with the community and local reporters that helped limit the coverage of these incidents and make it more balanced in tone.</w:t>
      </w:r>
    </w:p>
    <w:p>
      <w:pPr>
        <w:pStyle w:val="Normal"/>
        <w:numPr>
          <w:ilvl w:val="0"/>
          <w:numId w:val="8"/>
        </w:numPr>
        <w:tabs>
          <w:tab w:val="clear" w:pos="720"/>
          <w:tab w:val="left" w:pos="360" w:leader="none"/>
        </w:tabs>
        <w:ind w:hanging="360" w:start="360" w:end="0"/>
        <w:rPr>
          <w:sz w:val="22"/>
        </w:rPr>
      </w:pPr>
      <w:r>
        <w:rPr>
          <w:sz w:val="22"/>
        </w:rPr>
        <w:t>Conducted media training and emergency communication preparedness training at terminals, chemical plants and a refinery.</w:t>
      </w:r>
    </w:p>
    <w:p>
      <w:pPr>
        <w:pStyle w:val="Normal"/>
        <w:ind w:hanging="1620" w:start="1620" w:end="0"/>
        <w:rPr>
          <w:sz w:val="22"/>
        </w:rPr>
      </w:pPr>
      <w:r>
        <w:rPr>
          <w:sz w:val="22"/>
        </w:rPr>
      </w:r>
    </w:p>
    <w:p>
      <w:pPr>
        <w:pStyle w:val="Heading1"/>
        <w:rPr/>
      </w:pPr>
      <w:r>
        <w:rPr/>
        <w:t>EDUCATION</w:t>
      </w:r>
    </w:p>
    <w:p>
      <w:pPr>
        <w:pStyle w:val="Normal"/>
        <w:rPr>
          <w:sz w:val="22"/>
        </w:rPr>
      </w:pPr>
      <w:r>
        <w:rPr>
          <w:sz w:val="22"/>
        </w:rPr>
      </w:r>
    </w:p>
    <w:p>
      <w:pPr>
        <w:pStyle w:val="Heading1"/>
        <w:ind w:hanging="720" w:start="0" w:end="0"/>
        <w:rPr/>
      </w:pPr>
      <w:r>
        <w:rPr/>
        <w:tab/>
        <w:t xml:space="preserve">MBA, </w:t>
      </w:r>
      <w:r>
        <w:rPr>
          <w:b w:val="false"/>
          <w:bCs w:val="false"/>
        </w:rPr>
        <w:t>New York University, Stern School of Business</w:t>
        <w:tab/>
        <w:tab/>
        <w:tab/>
        <w:tab/>
        <w:tab/>
        <w:t>1994</w:t>
      </w:r>
    </w:p>
    <w:p>
      <w:pPr>
        <w:pStyle w:val="Normal"/>
        <w:ind w:hanging="720" w:end="0"/>
        <w:rPr>
          <w:sz w:val="22"/>
        </w:rPr>
      </w:pPr>
      <w:r>
        <w:rPr>
          <w:sz w:val="22"/>
        </w:rPr>
        <w:t xml:space="preserve"> </w:t>
      </w:r>
    </w:p>
    <w:p>
      <w:pPr>
        <w:pStyle w:val="Normal"/>
        <w:ind w:hanging="720" w:end="0"/>
        <w:rPr/>
      </w:pPr>
      <w:r>
        <w:rPr>
          <w:sz w:val="22"/>
        </w:rPr>
        <w:tab/>
      </w:r>
      <w:r>
        <w:rPr>
          <w:b/>
          <w:bCs/>
          <w:sz w:val="22"/>
        </w:rPr>
        <w:t>BA in Communications,</w:t>
      </w:r>
      <w:r>
        <w:rPr>
          <w:sz w:val="22"/>
        </w:rPr>
        <w:t xml:space="preserve"> University of Delaware </w:t>
        <w:tab/>
        <w:tab/>
        <w:tab/>
        <w:tab/>
        <w:tab/>
        <w:t>1989</w:t>
      </w:r>
    </w:p>
    <w:sectPr>
      <w:headerReference w:type="default" r:id="rId3"/>
      <w:headerReference w:type="first" r:id="rId4"/>
      <w:type w:val="nextPage"/>
      <w:pgSz w:w="12240" w:h="15840"/>
      <w:pgMar w:left="1296" w:right="1296" w:gutter="0" w:header="720" w:top="776" w:footer="0" w:bottom="43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840"/>
        </w:tabs>
        <w:ind w:start="84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900"/>
        </w:tabs>
        <w:ind w:start="90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0"/>
        </w:tabs>
        <w:ind w:start="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1620" w:start="1620" w:end="0"/>
      <w:outlineLvl w:val="0"/>
    </w:pPr>
    <w:rPr>
      <w:b/>
      <w:bCs/>
      <w:sz w:val="22"/>
    </w:rPr>
  </w:style>
  <w:style w:type="paragraph" w:styleId="Heading2">
    <w:name w:val="heading 2"/>
    <w:basedOn w:val="Normal"/>
    <w:next w:val="Normal"/>
    <w:qFormat/>
    <w:pPr>
      <w:keepNext w:val="true"/>
      <w:numPr>
        <w:ilvl w:val="1"/>
        <w:numId w:val="1"/>
      </w:numPr>
      <w:ind w:firstLine="720" w:start="900" w:end="0"/>
      <w:outlineLvl w:val="1"/>
    </w:pPr>
    <w:rPr>
      <w:b/>
      <w:bCs/>
      <w:sz w:val="22"/>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720" w:start="0" w:end="0"/>
      <w:outlineLvl w:val="3"/>
    </w:pPr>
    <w:rPr>
      <w:b/>
      <w:bCs/>
      <w:sz w:val="22"/>
    </w:rPr>
  </w:style>
  <w:style w:type="paragraph" w:styleId="Heading5">
    <w:name w:val="heading 5"/>
    <w:basedOn w:val="Normal"/>
    <w:next w:val="Normal"/>
    <w:qFormat/>
    <w:pPr>
      <w:keepNext w:val="true"/>
      <w:numPr>
        <w:ilvl w:val="4"/>
        <w:numId w:val="1"/>
      </w:numPr>
      <w:jc w:val="center"/>
      <w:outlineLvl w:val="4"/>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bCs/>
      <w:sz w:val="22"/>
    </w:rPr>
  </w:style>
  <w:style w:type="paragraph" w:styleId="BodyText">
    <w:name w:val="Body Text"/>
    <w:basedOn w:val="Normal"/>
    <w:pPr/>
    <w:rPr>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paragraph" w:styleId="BodyTextIndent2">
    <w:name w:val="Body Text Indent 2"/>
    <w:basedOn w:val="Normal"/>
    <w:qFormat/>
    <w:pPr>
      <w:ind w:hanging="1620" w:start="1620" w:end="0"/>
    </w:pPr>
    <w:rPr>
      <w:sz w:val="22"/>
    </w:rPr>
  </w:style>
  <w:style w:type="paragraph" w:styleId="BodyTextIndent3">
    <w:name w:val="Body Text Indent 3"/>
    <w:basedOn w:val="Normal"/>
    <w:qFormat/>
    <w:pPr>
      <w:ind w:hanging="720" w:start="0" w:end="0"/>
    </w:pPr>
    <w:rPr>
      <w:sz w:val="22"/>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bockius@ao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2001-07-02T15:44:00Z</dcterms:created>
  <dc:creator>Ted Bockius</dc:creator>
  <dc:description/>
  <dc:language>en-CA</dc:language>
  <cp:lastModifiedBy>mtaylo1</cp:lastModifiedBy>
  <cp:lastPrinted>2001-05-14T22:30:00Z</cp:lastPrinted>
  <dcterms:modified xsi:type="dcterms:W3CDTF">2001-07-10T18:12:00Z</dcterms:modified>
  <cp:revision>3</cp:revision>
  <dc:subject/>
  <dc:title>EDWARD C</dc:title>
</cp:coreProperties>
</file>