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t>Technical Analysis Vindicated (?)</w:t>
      </w:r>
    </w:p>
    <w:p>
      <w:pPr>
        <w:pStyle w:val="Normal"/>
        <w:jc w:val="both"/>
        <w:rPr>
          <w:b/>
        </w:rPr>
      </w:pPr>
      <w:r>
        <w:rPr>
          <w:b/>
        </w:rPr>
      </w:r>
    </w:p>
    <w:p>
      <w:pPr>
        <w:pStyle w:val="BodyText"/>
        <w:rPr/>
      </w:pPr>
      <w:r>
        <w:rPr/>
        <w:t>The technical analysts have been for a long time an object of derision by academic economists committed to the theory of efficient financial markets. The difference between technical analysis and quantitative finance has been compared many times to the difference between astrology and astronomy and technical analysts have been described as modern day alchemists, trying in vain to find a way to convert lead into gold. What is puzzling is that the skepticism towards technical analysis is so pervasive in the academic community, in spite of many studies providing direct and indirect support to some claims made by the “chartists.”</w:t>
      </w:r>
    </w:p>
    <w:p>
      <w:pPr>
        <w:pStyle w:val="Normal"/>
        <w:jc w:val="both"/>
        <w:rPr/>
      </w:pPr>
      <w:r>
        <w:rPr/>
      </w:r>
    </w:p>
    <w:p>
      <w:pPr>
        <w:pStyle w:val="Normal"/>
        <w:jc w:val="both"/>
        <w:rPr/>
      </w:pPr>
      <w:r>
        <w:rPr/>
        <w:t>A new study by Andrew W. Lo, Harry Mamaysky, Jiang Wang of MIT and National Bureau of Economic Research (“Foundations of Technical Analysis: Computational Algorithms, Statistical Inference and Empirical Implementation”) is a very solid contribution to the on-going debate. The study is fairly complex from a technical point of view and only a superficial summary may be provided in the limited space I have available here.</w:t>
      </w:r>
    </w:p>
    <w:p>
      <w:pPr>
        <w:pStyle w:val="Normal"/>
        <w:jc w:val="both"/>
        <w:rPr/>
      </w:pPr>
      <w:r>
        <w:rPr/>
      </w:r>
    </w:p>
    <w:p>
      <w:pPr>
        <w:pStyle w:val="Normal"/>
        <w:jc w:val="both"/>
        <w:rPr/>
      </w:pPr>
      <w:r>
        <w:rPr/>
        <w:t>The authors start by pointing out to the difference in jargon used by the two approaches that creates barriers to productive discussion. Two contrasting statements:</w:t>
      </w:r>
    </w:p>
    <w:p>
      <w:pPr>
        <w:pStyle w:val="Normal"/>
        <w:jc w:val="both"/>
        <w:rPr/>
      </w:pPr>
      <w:r>
        <w:rPr/>
      </w:r>
    </w:p>
    <w:p>
      <w:pPr>
        <w:pStyle w:val="Normal"/>
        <w:jc w:val="both"/>
        <w:rPr/>
      </w:pPr>
      <w:r>
        <w:rPr/>
        <w:t>“</w:t>
      </w:r>
      <w:r>
        <w:rPr/>
        <w:t>The presence of clearly identified support and resistance levels, coupled with a one-third retracement parameters when prices lie between them, suggests the presence of strong buying and selling opportunities in the near-term.”</w:t>
      </w:r>
    </w:p>
    <w:p>
      <w:pPr>
        <w:pStyle w:val="Normal"/>
        <w:jc w:val="both"/>
        <w:rPr/>
      </w:pPr>
      <w:r>
        <w:rPr/>
      </w:r>
    </w:p>
    <w:p>
      <w:pPr>
        <w:pStyle w:val="Normal"/>
        <w:jc w:val="both"/>
        <w:rPr/>
      </w:pPr>
      <w:r>
        <w:rPr/>
        <w:t>and</w:t>
      </w:r>
    </w:p>
    <w:p>
      <w:pPr>
        <w:pStyle w:val="Normal"/>
        <w:jc w:val="both"/>
        <w:rPr/>
      </w:pPr>
      <w:r>
        <w:rPr/>
      </w:r>
    </w:p>
    <w:p>
      <w:pPr>
        <w:pStyle w:val="Normal"/>
        <w:jc w:val="both"/>
        <w:rPr/>
      </w:pPr>
      <w:r>
        <w:rPr/>
        <w:t>“</w:t>
      </w:r>
      <w:r>
        <w:rPr/>
        <w:t>The magnitudes and decay pattern of the first twelve autocorrelations and the statistical significance of the Box-Pierce Q-statistic suggest the presence of a high-frequency predictable componnent in stock returns.”</w:t>
      </w:r>
    </w:p>
    <w:p>
      <w:pPr>
        <w:pStyle w:val="Normal"/>
        <w:jc w:val="both"/>
        <w:rPr/>
      </w:pPr>
      <w:r>
        <w:rPr/>
      </w:r>
    </w:p>
    <w:p>
      <w:pPr>
        <w:pStyle w:val="Normal"/>
        <w:jc w:val="both"/>
        <w:rPr/>
      </w:pPr>
      <w:r>
        <w:rPr/>
      </w:r>
    </w:p>
    <w:p>
      <w:pPr>
        <w:pStyle w:val="Normal"/>
        <w:jc w:val="both"/>
        <w:rPr/>
      </w:pPr>
      <w:r>
        <w:rPr/>
        <w:t>have the same fundamental meaning, but the same person might reject one of the statements as a complete nonsense. The authors of the study made an effort to translate the technical analysis statements into the language of financial economics.</w:t>
      </w:r>
    </w:p>
    <w:p>
      <w:pPr>
        <w:pStyle w:val="Normal"/>
        <w:jc w:val="both"/>
        <w:rPr/>
      </w:pPr>
      <w:r>
        <w:rPr/>
      </w:r>
    </w:p>
    <w:p>
      <w:pPr>
        <w:pStyle w:val="Normal"/>
        <w:jc w:val="both"/>
        <w:rPr/>
      </w:pPr>
      <w:r>
        <w:rPr/>
        <w:t xml:space="preserve">The first step in their research was application of a statistical method (known as </w:t>
      </w:r>
      <w:r>
        <w:rPr>
          <w:i/>
        </w:rPr>
        <w:t>kernel regression</w:t>
      </w:r>
      <w:r>
        <w:rPr/>
        <w:t xml:space="preserve">) to capture regularities in noisy market prices that evolve over time according to some non-linear pattern. This part is in essence a sophisticated data smoothing exercise, with special attention paid to the length of the time interval (so-called bandwidth) over which the data is averaged. </w:t>
      </w:r>
    </w:p>
    <w:p>
      <w:pPr>
        <w:pStyle w:val="Normal"/>
        <w:jc w:val="both"/>
        <w:rPr/>
      </w:pPr>
      <w:r>
        <w:rPr/>
      </w:r>
    </w:p>
    <w:p>
      <w:pPr>
        <w:pStyle w:val="Normal"/>
        <w:jc w:val="both"/>
        <w:rPr/>
      </w:pPr>
      <w:r>
        <w:rPr/>
        <w:t>The next step was coding of several technical analysis patterns, which are most closely followed in practice. These patterns were head-and-shoulders, inverse head-and-shoulders, broadening tops and bottoms, triangle tops and bottoms, rectangle tops and bottoms, double tops and bottoms. Of course, in this process many subtleties obvious to an eye of trained technical analysts may be lost. For example, the head-and-shoulder pattern, has been coded as follows:</w:t>
      </w:r>
    </w:p>
    <w:p>
      <w:pPr>
        <w:pStyle w:val="Normal"/>
        <w:jc w:val="both"/>
        <w:rPr/>
      </w:pPr>
      <w:r>
        <w:rPr/>
      </w:r>
    </w:p>
    <w:p>
      <w:pPr>
        <w:pStyle w:val="Normal"/>
        <w:jc w:val="both"/>
        <w:rPr/>
      </w:pPr>
      <w:r>
        <w:rPr/>
        <w:t>“</w:t>
      </w:r>
      <w:r>
        <w:rPr/>
        <w:t>Head-and-shoulders (HS) (…) patterns are characterized by a sequence of five consecutive local extrema E</w:t>
      </w:r>
      <w:r>
        <w:rPr>
          <w:vertAlign w:val="subscript"/>
        </w:rPr>
        <w:t>1</w:t>
      </w:r>
      <w:r>
        <w:rPr/>
        <w:t>, …, E</w:t>
      </w:r>
      <w:r>
        <w:rPr>
          <w:vertAlign w:val="subscript"/>
        </w:rPr>
        <w:t>5</w:t>
      </w:r>
      <w:r>
        <w:rPr/>
        <w:t xml:space="preserve"> such that:</w:t>
      </w:r>
    </w:p>
    <w:p>
      <w:pPr>
        <w:pStyle w:val="Normal"/>
        <w:jc w:val="both"/>
        <w:rPr/>
      </w:pPr>
      <w:r>
        <w:rPr/>
      </w:r>
    </w:p>
    <w:p>
      <w:pPr>
        <w:pStyle w:val="Normal"/>
        <w:jc w:val="both"/>
        <w:rPr/>
      </w:pPr>
      <w:r>
        <w:rPr/>
        <w:tab/>
        <w:t>E</w:t>
      </w:r>
      <w:r>
        <w:rPr>
          <w:vertAlign w:val="subscript"/>
        </w:rPr>
        <w:t>1</w:t>
      </w:r>
      <w:r>
        <w:rPr/>
        <w:t xml:space="preserve"> is a maximum</w:t>
      </w:r>
    </w:p>
    <w:p>
      <w:pPr>
        <w:pStyle w:val="Normal"/>
        <w:jc w:val="both"/>
        <w:rPr/>
      </w:pPr>
      <w:r>
        <w:rPr/>
        <w:tab/>
        <w:t>E</w:t>
      </w:r>
      <w:r>
        <w:rPr>
          <w:vertAlign w:val="subscript"/>
        </w:rPr>
        <w:t>3</w:t>
      </w:r>
      <w:r>
        <w:rPr/>
        <w:t>&gt;E</w:t>
      </w:r>
      <w:r>
        <w:rPr>
          <w:vertAlign w:val="subscript"/>
        </w:rPr>
        <w:t>1</w:t>
      </w:r>
      <w:r>
        <w:rPr/>
        <w:t>, E</w:t>
      </w:r>
      <w:r>
        <w:rPr>
          <w:vertAlign w:val="subscript"/>
        </w:rPr>
        <w:t>3</w:t>
      </w:r>
      <w:r>
        <w:rPr/>
        <w:t xml:space="preserve"> &gt; E</w:t>
      </w:r>
      <w:r>
        <w:rPr>
          <w:vertAlign w:val="subscript"/>
        </w:rPr>
        <w:t>5</w:t>
      </w:r>
    </w:p>
    <w:p>
      <w:pPr>
        <w:pStyle w:val="Normal"/>
        <w:ind w:firstLine="720" w:end="0"/>
        <w:jc w:val="both"/>
        <w:rPr/>
      </w:pPr>
      <w:r>
        <w:rPr/>
        <w:t>E</w:t>
      </w:r>
      <w:r>
        <w:rPr>
          <w:vertAlign w:val="subscript"/>
        </w:rPr>
        <w:t>1</w:t>
      </w:r>
      <w:r>
        <w:rPr/>
        <w:t xml:space="preserve"> and E</w:t>
      </w:r>
      <w:r>
        <w:rPr>
          <w:vertAlign w:val="subscript"/>
        </w:rPr>
        <w:t>5</w:t>
      </w:r>
      <w:r>
        <w:rPr/>
        <w:t xml:space="preserve"> within 1.5 percent of their average</w:t>
      </w:r>
    </w:p>
    <w:p>
      <w:pPr>
        <w:pStyle w:val="Normal"/>
        <w:ind w:firstLine="720" w:end="0"/>
        <w:jc w:val="both"/>
        <w:rPr/>
      </w:pPr>
      <w:r>
        <w:rPr/>
        <w:t>E</w:t>
      </w:r>
      <w:r>
        <w:rPr>
          <w:vertAlign w:val="subscript"/>
        </w:rPr>
        <w:t>2</w:t>
      </w:r>
      <w:r>
        <w:rPr/>
        <w:t xml:space="preserve"> and E</w:t>
      </w:r>
      <w:r>
        <w:rPr>
          <w:vertAlign w:val="subscript"/>
        </w:rPr>
        <w:t>4</w:t>
      </w:r>
      <w:r>
        <w:rPr/>
        <w:t xml:space="preserve"> within 1.5 percent of their average.”</w:t>
      </w:r>
    </w:p>
    <w:p>
      <w:pPr>
        <w:pStyle w:val="Normal"/>
        <w:ind w:firstLine="720" w:end="0"/>
        <w:jc w:val="both"/>
        <w:rPr/>
      </w:pPr>
      <w:r>
        <w:rPr/>
      </w:r>
    </w:p>
    <w:p>
      <w:pPr>
        <w:pStyle w:val="Normal"/>
        <w:jc w:val="both"/>
        <w:rPr/>
      </w:pPr>
      <w:r>
        <w:rPr/>
        <w:t xml:space="preserve">The final step was identification of the coded patterns over the rolling windows of data. After this has been accomplished the results are evaluated, using a different approach than past studies. The technical trading patterns that have been identified are not tested for their profitability. Instead, the authors compare the nonconditional empirical distribution of returns with the corresponding conditional empirical distribution of returns, conditioned on the occurrence of a technical pattern. In other words, it technical analysis is useful, a technical pattern should be informative and affect the distribution of returns. If the incorporation of information into the return distributions is instantaneous, the conditional and unconditional distributions should be practically identical. </w:t>
      </w:r>
    </w:p>
    <w:p>
      <w:pPr>
        <w:pStyle w:val="Normal"/>
        <w:jc w:val="both"/>
        <w:rPr/>
      </w:pPr>
      <w:r>
        <w:rPr/>
      </w:r>
    </w:p>
    <w:p>
      <w:pPr>
        <w:pStyle w:val="Normal"/>
        <w:jc w:val="both"/>
        <w:rPr/>
      </w:pPr>
      <w:r>
        <w:rPr/>
        <w:t>The statistical tests showed that for the NYSE/AMEX sample, the relative frequencies of the conditional returns are significantly different from those of the unconditional returns, in the case of seven of the ten patterns considered. However, for NASADQ all the ten technical indictors worked. The authors concluded, that technical analysis could add value to the investment process. They emphasized that they did not prove that it could generate excess profits.</w:t>
      </w:r>
    </w:p>
    <w:p>
      <w:pPr>
        <w:pStyle w:val="Normal"/>
        <w:jc w:val="both"/>
        <w:rPr/>
      </w:pPr>
      <w:r>
        <w:rPr/>
      </w:r>
    </w:p>
    <w:p>
      <w:pPr>
        <w:pStyle w:val="Normal"/>
        <w:jc w:val="both"/>
        <w:rPr/>
      </w:pPr>
      <w:r>
        <w:rPr/>
        <w:t>One comment I have is that a hard working technical analyst typically examines over the weekend 1,500 to 3,000 charts. He selects a few that look interesting and can be used as foundation of a trading strategy. The software developed by the authors of the study automates this process and potentially accelerates the selection of the promising charts. If this technology becomes widely available, the excess profits, if any, will be arbitraged away. One will have to look for another mousetrap.</w:t>
      </w:r>
    </w:p>
    <w:p>
      <w:pPr>
        <w:pStyle w:val="Normal"/>
        <w:jc w:val="both"/>
        <w:rPr/>
      </w:pPr>
      <w:r>
        <w:rPr/>
      </w:r>
    </w:p>
    <w:p>
      <w:pPr>
        <w:pStyle w:val="Normal"/>
        <w:jc w:val="both"/>
        <w:rPr/>
      </w:pPr>
      <w:r>
        <w:rPr/>
      </w:r>
    </w:p>
    <w:p>
      <w:pPr>
        <w:pStyle w:val="Normal"/>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2000-04-17T11:05:00Z</dcterms:created>
  <dc:creator>Vince Kaminski</dc:creator>
  <dc:description/>
  <dc:language>en-CA</dc:language>
  <cp:lastModifiedBy>vkamins</cp:lastModifiedBy>
  <cp:lastPrinted>2000-04-17T08:35:00Z</cp:lastPrinted>
  <dcterms:modified xsi:type="dcterms:W3CDTF">2000-04-17T11:05:00Z</dcterms:modified>
  <cp:revision>2</cp:revision>
  <dc:subject/>
  <dc:title>Technical Analysis Vindicated (</dc:title>
</cp:coreProperties>
</file>