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_rels/footer1.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media/image1.wmf" ContentType="image/x-wmf"/>
  <Override PartName="/word/media/image2.wmf" ContentType="image/x-wmf"/>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jc w:val="center"/>
        <w:rPr>
          <w:b/>
          <w:sz w:val="40"/>
        </w:rPr>
      </w:pPr>
      <w:r>
        <w:rPr>
          <w:b/>
          <w:sz w:val="40"/>
        </w:rPr>
      </w:r>
    </w:p>
    <w:p>
      <w:pPr>
        <w:pStyle w:val="Header"/>
        <w:jc w:val="center"/>
        <w:rPr>
          <w:b/>
          <w:sz w:val="40"/>
        </w:rPr>
      </w:pPr>
      <w:r>
        <w:rPr>
          <w:b/>
          <w:sz w:val="40"/>
        </w:rPr>
      </w:r>
    </w:p>
    <w:p>
      <w:pPr>
        <w:pStyle w:val="Header"/>
        <w:jc w:val="center"/>
        <w:rPr>
          <w:b/>
          <w:sz w:val="40"/>
        </w:rPr>
      </w:pPr>
      <w:r>
        <w:rPr>
          <w:b/>
          <w:sz w:val="40"/>
        </w:rPr>
      </w:r>
    </w:p>
    <w:p>
      <w:pPr>
        <w:pStyle w:val="Header"/>
        <w:jc w:val="center"/>
        <w:rPr>
          <w:b/>
          <w:sz w:val="40"/>
        </w:rPr>
      </w:pPr>
      <w:r>
        <w:rPr>
          <w:b/>
          <w:sz w:val="40"/>
        </w:rPr>
        <w:t>Project Pipeline Overview</w:t>
      </w:r>
    </w:p>
    <w:p>
      <w:pPr>
        <w:pStyle w:val="Header"/>
        <w:jc w:val="center"/>
        <w:rPr>
          <w:b/>
          <w:sz w:val="40"/>
        </w:rPr>
      </w:pPr>
      <w:r>
        <w:rPr>
          <w:b/>
          <w:sz w:val="40"/>
        </w:rPr>
      </w:r>
    </w:p>
    <w:p>
      <w:pPr>
        <w:pStyle w:val="Header"/>
        <w:jc w:val="center"/>
        <w:rPr>
          <w:b/>
          <w:sz w:val="40"/>
        </w:rPr>
      </w:pPr>
      <w:r>
        <w:rPr>
          <w:b/>
          <w:sz w:val="40"/>
        </w:rPr>
      </w:r>
    </w:p>
    <w:p>
      <w:pPr>
        <w:pStyle w:val="Header"/>
        <w:jc w:val="center"/>
        <w:rPr>
          <w:b/>
          <w:sz w:val="40"/>
        </w:rPr>
      </w:pPr>
      <w:r>
        <w:rPr>
          <w:b/>
          <w:sz w:val="40"/>
        </w:rPr>
      </w:r>
    </w:p>
    <w:p>
      <w:pPr>
        <w:pStyle w:val="Header"/>
        <w:jc w:val="center"/>
        <w:rPr>
          <w:b/>
          <w:sz w:val="40"/>
        </w:rPr>
      </w:pPr>
      <w:r>
        <w:rPr>
          <w:b/>
          <w:sz w:val="40"/>
        </w:rPr>
      </w:r>
    </w:p>
    <w:p>
      <w:pPr>
        <w:pStyle w:val="Header"/>
        <w:jc w:val="both"/>
        <w:rPr>
          <w:b/>
          <w:sz w:val="18"/>
        </w:rPr>
      </w:pPr>
      <w:r>
        <w:rPr>
          <w:b/>
          <w:sz w:val="18"/>
        </w:rPr>
      </w:r>
    </w:p>
    <w:tbl>
      <w:tblPr>
        <w:tblW w:w="9360" w:type="dxa"/>
        <w:jc w:val="start"/>
        <w:tblInd w:w="108" w:type="dxa"/>
        <w:tblLayout w:type="fixed"/>
        <w:tblCellMar>
          <w:top w:w="0" w:type="dxa"/>
          <w:start w:w="108" w:type="dxa"/>
          <w:bottom w:w="0" w:type="dxa"/>
          <w:end w:w="108" w:type="dxa"/>
        </w:tblCellMar>
      </w:tblPr>
      <w:tblGrid>
        <w:gridCol w:w="2970"/>
        <w:gridCol w:w="1710"/>
        <w:gridCol w:w="180"/>
        <w:gridCol w:w="180"/>
        <w:gridCol w:w="2700"/>
        <w:gridCol w:w="1620"/>
      </w:tblGrid>
      <w:tr>
        <w:trPr>
          <w:trHeight w:val="240" w:hRule="atLeast"/>
        </w:trPr>
        <w:tc>
          <w:tcPr>
            <w:tcW w:w="9360" w:type="dxa"/>
            <w:gridSpan w:val="6"/>
            <w:tcBorders>
              <w:top w:val="single" w:sz="4" w:space="0" w:color="000000"/>
              <w:start w:val="single" w:sz="4" w:space="0" w:color="000000"/>
              <w:bottom w:val="single" w:sz="4" w:space="0" w:color="000000"/>
              <w:end w:val="single" w:sz="4" w:space="0" w:color="000000"/>
            </w:tcBorders>
          </w:tcPr>
          <w:p>
            <w:pPr>
              <w:pStyle w:val="Header"/>
              <w:tabs>
                <w:tab w:val="clear" w:pos="4320"/>
                <w:tab w:val="right" w:pos="8640" w:leader="none"/>
              </w:tabs>
              <w:spacing w:before="60" w:after="60"/>
              <w:jc w:val="center"/>
              <w:rPr>
                <w:smallCaps/>
              </w:rPr>
            </w:pPr>
            <w:r>
              <w:rPr>
                <w:b/>
                <w:smallCaps/>
              </w:rPr>
              <w:t>CIBC World Markets Corp.</w:t>
            </w:r>
          </w:p>
        </w:tc>
      </w:tr>
      <w:tr>
        <w:trPr>
          <w:trHeight w:val="120" w:hRule="exact"/>
        </w:trPr>
        <w:tc>
          <w:tcPr>
            <w:tcW w:w="9360" w:type="dxa"/>
            <w:gridSpan w:val="6"/>
            <w:tcBorders/>
          </w:tcPr>
          <w:p>
            <w:pPr>
              <w:pStyle w:val="Header"/>
              <w:snapToGrid w:val="false"/>
              <w:ind w:end="5040"/>
              <w:jc w:val="center"/>
              <w:rPr>
                <w:smallCaps/>
              </w:rPr>
            </w:pPr>
            <w:r>
              <w:rPr>
                <w:smallCaps/>
              </w:rPr>
            </w:r>
          </w:p>
        </w:tc>
      </w:tr>
      <w:tr>
        <w:trPr/>
        <w:tc>
          <w:tcPr>
            <w:tcW w:w="4860" w:type="dxa"/>
            <w:gridSpan w:val="3"/>
            <w:tcBorders>
              <w:top w:val="single" w:sz="4" w:space="0" w:color="000000"/>
              <w:start w:val="single" w:sz="4" w:space="0" w:color="000000"/>
              <w:bottom w:val="single" w:sz="4" w:space="0" w:color="000000"/>
              <w:end w:val="single" w:sz="4" w:space="0" w:color="000000"/>
            </w:tcBorders>
          </w:tcPr>
          <w:p>
            <w:pPr>
              <w:pStyle w:val="Header"/>
              <w:jc w:val="center"/>
              <w:rPr>
                <w:b/>
                <w:sz w:val="18"/>
              </w:rPr>
            </w:pPr>
            <w:r>
              <w:rPr>
                <w:b/>
                <w:sz w:val="18"/>
              </w:rPr>
              <w:t>Mergers &amp; Acquisitions</w:t>
            </w:r>
          </w:p>
          <w:p>
            <w:pPr>
              <w:pStyle w:val="Header"/>
              <w:jc w:val="center"/>
              <w:rPr/>
            </w:pPr>
            <w:r>
              <w:rPr>
                <w:b/>
                <w:sz w:val="18"/>
              </w:rPr>
              <w:t>425 Lexington Avenue, 6</w:t>
            </w:r>
            <w:r>
              <w:rPr>
                <w:b/>
                <w:sz w:val="18"/>
                <w:vertAlign w:val="superscript"/>
              </w:rPr>
              <w:t>th</w:t>
            </w:r>
            <w:r>
              <w:rPr>
                <w:b/>
                <w:sz w:val="18"/>
              </w:rPr>
              <w:t xml:space="preserve"> Floor</w:t>
            </w:r>
          </w:p>
          <w:p>
            <w:pPr>
              <w:pStyle w:val="Header"/>
              <w:jc w:val="center"/>
              <w:rPr>
                <w:b/>
                <w:sz w:val="18"/>
              </w:rPr>
            </w:pPr>
            <w:r>
              <w:rPr>
                <w:b/>
                <w:sz w:val="18"/>
              </w:rPr>
              <w:t>New York, NY 10017</w:t>
            </w:r>
          </w:p>
          <w:p>
            <w:pPr>
              <w:pStyle w:val="Header"/>
              <w:jc w:val="center"/>
              <w:rPr>
                <w:sz w:val="18"/>
              </w:rPr>
            </w:pPr>
            <w:r>
              <w:rPr>
                <w:b/>
                <w:sz w:val="18"/>
              </w:rPr>
              <w:t>Fax: (212) 885–4423/4</w:t>
            </w:r>
          </w:p>
        </w:tc>
        <w:tc>
          <w:tcPr>
            <w:tcW w:w="4500" w:type="dxa"/>
            <w:gridSpan w:val="3"/>
            <w:tcBorders>
              <w:top w:val="single" w:sz="4" w:space="0" w:color="000000"/>
              <w:start w:val="single" w:sz="4" w:space="0" w:color="000000"/>
              <w:bottom w:val="single" w:sz="4" w:space="0" w:color="000000"/>
              <w:end w:val="single" w:sz="4" w:space="0" w:color="000000"/>
            </w:tcBorders>
          </w:tcPr>
          <w:p>
            <w:pPr>
              <w:pStyle w:val="Header"/>
              <w:jc w:val="center"/>
              <w:rPr>
                <w:b/>
                <w:sz w:val="18"/>
              </w:rPr>
            </w:pPr>
            <w:r>
              <w:rPr>
                <w:b/>
                <w:sz w:val="18"/>
              </w:rPr>
              <w:t>Technology Investment Banking</w:t>
            </w:r>
          </w:p>
          <w:p>
            <w:pPr>
              <w:pStyle w:val="Header"/>
              <w:jc w:val="center"/>
              <w:rPr>
                <w:b/>
                <w:sz w:val="18"/>
              </w:rPr>
            </w:pPr>
            <w:r>
              <w:rPr>
                <w:b/>
                <w:sz w:val="18"/>
              </w:rPr>
              <w:t>2420 Sand Hill Road, Suite 300</w:t>
            </w:r>
          </w:p>
          <w:p>
            <w:pPr>
              <w:pStyle w:val="Header"/>
              <w:jc w:val="center"/>
              <w:rPr>
                <w:b/>
                <w:sz w:val="18"/>
              </w:rPr>
            </w:pPr>
            <w:r>
              <w:rPr>
                <w:b/>
                <w:sz w:val="18"/>
              </w:rPr>
              <w:t>Menlo Park, CA 94025</w:t>
            </w:r>
          </w:p>
          <w:p>
            <w:pPr>
              <w:pStyle w:val="Header"/>
              <w:jc w:val="center"/>
              <w:rPr>
                <w:sz w:val="18"/>
              </w:rPr>
            </w:pPr>
            <w:r>
              <w:rPr>
                <w:b/>
                <w:sz w:val="18"/>
              </w:rPr>
              <w:t>Fax: (650) 234-2450/1</w:t>
            </w:r>
          </w:p>
        </w:tc>
      </w:tr>
      <w:tr>
        <w:trPr>
          <w:trHeight w:val="240" w:hRule="exact"/>
        </w:trPr>
        <w:tc>
          <w:tcPr>
            <w:tcW w:w="9360" w:type="dxa"/>
            <w:gridSpan w:val="6"/>
            <w:tcBorders/>
          </w:tcPr>
          <w:p>
            <w:pPr>
              <w:pStyle w:val="Header"/>
              <w:snapToGrid w:val="false"/>
              <w:jc w:val="center"/>
              <w:rPr>
                <w:sz w:val="18"/>
              </w:rPr>
            </w:pPr>
            <w:r>
              <w:rPr>
                <w:sz w:val="18"/>
              </w:rPr>
            </w:r>
          </w:p>
        </w:tc>
      </w:tr>
      <w:tr>
        <w:trPr>
          <w:trHeight w:val="240" w:hRule="atLeast"/>
        </w:trPr>
        <w:tc>
          <w:tcPr>
            <w:tcW w:w="4680" w:type="dxa"/>
            <w:gridSpan w:val="2"/>
            <w:tcBorders>
              <w:bottom w:val="single" w:sz="4" w:space="0" w:color="000000"/>
            </w:tcBorders>
          </w:tcPr>
          <w:p>
            <w:pPr>
              <w:pStyle w:val="Header"/>
              <w:ind w:start="-108" w:end="0"/>
              <w:jc w:val="center"/>
              <w:rPr>
                <w:b/>
              </w:rPr>
            </w:pPr>
            <w:r>
              <w:rPr>
                <w:b/>
              </w:rPr>
              <w:t>Mergers and Acquisitions</w:t>
            </w:r>
          </w:p>
        </w:tc>
        <w:tc>
          <w:tcPr>
            <w:tcW w:w="360" w:type="dxa"/>
            <w:gridSpan w:val="2"/>
            <w:tcBorders/>
          </w:tcPr>
          <w:p>
            <w:pPr>
              <w:pStyle w:val="Header"/>
              <w:snapToGrid w:val="false"/>
              <w:ind w:start="-115" w:end="0"/>
              <w:jc w:val="both"/>
              <w:rPr>
                <w:b/>
              </w:rPr>
            </w:pPr>
            <w:r>
              <w:rPr>
                <w:b/>
              </w:rPr>
            </w:r>
          </w:p>
        </w:tc>
        <w:tc>
          <w:tcPr>
            <w:tcW w:w="4320" w:type="dxa"/>
            <w:gridSpan w:val="2"/>
            <w:tcBorders>
              <w:bottom w:val="single" w:sz="4" w:space="0" w:color="000000"/>
            </w:tcBorders>
          </w:tcPr>
          <w:p>
            <w:pPr>
              <w:pStyle w:val="Header"/>
              <w:ind w:start="-108" w:end="0"/>
              <w:jc w:val="center"/>
              <w:rPr>
                <w:b/>
              </w:rPr>
            </w:pPr>
            <w:r>
              <w:rPr>
                <w:b/>
              </w:rPr>
              <w:t>Technology</w:t>
            </w:r>
          </w:p>
        </w:tc>
      </w:tr>
      <w:tr>
        <w:trPr>
          <w:trHeight w:val="240" w:hRule="atLeast"/>
        </w:trPr>
        <w:tc>
          <w:tcPr>
            <w:tcW w:w="2970" w:type="dxa"/>
            <w:tcBorders/>
          </w:tcPr>
          <w:p>
            <w:pPr>
              <w:pStyle w:val="Header"/>
              <w:ind w:start="-108" w:end="0"/>
              <w:jc w:val="both"/>
              <w:rPr>
                <w:color w:val="000000"/>
                <w:sz w:val="20"/>
                <w:lang w:eastAsia="en-US"/>
              </w:rPr>
            </w:pPr>
            <w:r>
              <w:rPr/>
              <w:t>James Holzer</w:t>
            </w:r>
          </w:p>
          <w:p>
            <w:pPr>
              <w:pStyle w:val="Header"/>
              <w:ind w:start="-108" w:end="0"/>
              <w:jc w:val="both"/>
              <w:rPr>
                <w:i/>
                <w:i/>
              </w:rPr>
            </w:pPr>
            <w:r>
              <w:rPr>
                <w:i/>
              </w:rPr>
              <w:t>Executive Director</w:t>
            </w:r>
          </w:p>
          <w:p>
            <w:pPr>
              <w:pStyle w:val="Header"/>
              <w:ind w:start="-108" w:end="0"/>
              <w:jc w:val="both"/>
              <w:rPr>
                <w:i/>
                <w:i/>
              </w:rPr>
            </w:pPr>
            <w:r>
              <w:rPr>
                <w:i/>
              </w:rPr>
            </w:r>
          </w:p>
        </w:tc>
        <w:tc>
          <w:tcPr>
            <w:tcW w:w="1710" w:type="dxa"/>
            <w:tcBorders/>
          </w:tcPr>
          <w:p>
            <w:pPr>
              <w:pStyle w:val="Header"/>
              <w:tabs>
                <w:tab w:val="left" w:pos="335" w:leader="none"/>
                <w:tab w:val="center" w:pos="4320" w:leader="none"/>
                <w:tab w:val="right" w:pos="8640" w:leader="none"/>
              </w:tabs>
              <w:spacing w:before="0" w:after="60"/>
              <w:ind w:start="-108" w:end="0"/>
              <w:jc w:val="both"/>
              <w:rPr/>
            </w:pPr>
            <w:r>
              <w:rPr/>
              <w:t>(212) 856-3637</w:t>
            </w:r>
          </w:p>
        </w:tc>
        <w:tc>
          <w:tcPr>
            <w:tcW w:w="360" w:type="dxa"/>
            <w:gridSpan w:val="2"/>
            <w:tcBorders/>
          </w:tcPr>
          <w:p>
            <w:pPr>
              <w:pStyle w:val="Header"/>
              <w:snapToGrid w:val="false"/>
              <w:ind w:start="-115" w:end="0"/>
              <w:jc w:val="both"/>
              <w:rPr/>
            </w:pPr>
            <w:r>
              <w:rPr/>
            </w:r>
          </w:p>
        </w:tc>
        <w:tc>
          <w:tcPr>
            <w:tcW w:w="2700" w:type="dxa"/>
            <w:tcBorders/>
          </w:tcPr>
          <w:p>
            <w:pPr>
              <w:pStyle w:val="Header"/>
              <w:ind w:start="-108" w:end="0"/>
              <w:jc w:val="both"/>
              <w:rPr/>
            </w:pPr>
            <w:r>
              <w:rPr/>
              <w:t>Adam Meislik</w:t>
            </w:r>
          </w:p>
          <w:p>
            <w:pPr>
              <w:pStyle w:val="Header"/>
              <w:ind w:start="-108" w:end="0"/>
              <w:jc w:val="both"/>
              <w:rPr>
                <w:i/>
                <w:i/>
              </w:rPr>
            </w:pPr>
            <w:r>
              <w:rPr>
                <w:i/>
              </w:rPr>
              <w:t>Director</w:t>
            </w:r>
          </w:p>
          <w:p>
            <w:pPr>
              <w:pStyle w:val="Header"/>
              <w:ind w:start="-108" w:end="0"/>
              <w:jc w:val="both"/>
              <w:rPr>
                <w:i/>
                <w:i/>
              </w:rPr>
            </w:pPr>
            <w:r>
              <w:rPr>
                <w:i/>
              </w:rPr>
            </w:r>
          </w:p>
        </w:tc>
        <w:tc>
          <w:tcPr>
            <w:tcW w:w="1620" w:type="dxa"/>
            <w:tcBorders/>
          </w:tcPr>
          <w:p>
            <w:pPr>
              <w:pStyle w:val="Header"/>
              <w:tabs>
                <w:tab w:val="left" w:pos="335" w:leader="none"/>
                <w:tab w:val="center" w:pos="4320" w:leader="none"/>
                <w:tab w:val="right" w:pos="8640" w:leader="none"/>
              </w:tabs>
              <w:spacing w:before="0" w:after="60"/>
              <w:ind w:start="-108" w:end="0"/>
              <w:jc w:val="both"/>
              <w:rPr/>
            </w:pPr>
            <w:r>
              <w:rPr/>
              <w:t>(650) 234-2403</w:t>
            </w:r>
          </w:p>
        </w:tc>
      </w:tr>
      <w:tr>
        <w:trPr>
          <w:trHeight w:val="240" w:hRule="atLeast"/>
        </w:trPr>
        <w:tc>
          <w:tcPr>
            <w:tcW w:w="2970" w:type="dxa"/>
            <w:tcBorders/>
          </w:tcPr>
          <w:p>
            <w:pPr>
              <w:pStyle w:val="Header"/>
              <w:ind w:start="-108" w:end="0"/>
              <w:jc w:val="both"/>
              <w:rPr/>
            </w:pPr>
            <w:r>
              <w:rPr/>
              <w:t>Bojan Stoyanov</w:t>
            </w:r>
          </w:p>
          <w:p>
            <w:pPr>
              <w:pStyle w:val="Header"/>
              <w:ind w:start="-108" w:end="0"/>
              <w:jc w:val="both"/>
              <w:rPr>
                <w:i/>
                <w:i/>
              </w:rPr>
            </w:pPr>
            <w:r>
              <w:rPr>
                <w:i/>
              </w:rPr>
              <w:t>Associate</w:t>
            </w:r>
          </w:p>
        </w:tc>
        <w:tc>
          <w:tcPr>
            <w:tcW w:w="1710" w:type="dxa"/>
            <w:tcBorders/>
          </w:tcPr>
          <w:p>
            <w:pPr>
              <w:pStyle w:val="Header"/>
              <w:ind w:start="-108" w:end="0"/>
              <w:jc w:val="both"/>
              <w:rPr/>
            </w:pPr>
            <w:r>
              <w:rPr/>
              <w:t>(212) 856-4026</w:t>
            </w:r>
          </w:p>
        </w:tc>
        <w:tc>
          <w:tcPr>
            <w:tcW w:w="360" w:type="dxa"/>
            <w:gridSpan w:val="2"/>
            <w:tcBorders/>
          </w:tcPr>
          <w:p>
            <w:pPr>
              <w:pStyle w:val="Header"/>
              <w:snapToGrid w:val="false"/>
              <w:ind w:start="-115" w:end="0"/>
              <w:jc w:val="both"/>
              <w:rPr/>
            </w:pPr>
            <w:r>
              <w:rPr/>
            </w:r>
          </w:p>
        </w:tc>
        <w:tc>
          <w:tcPr>
            <w:tcW w:w="2700" w:type="dxa"/>
            <w:tcBorders/>
          </w:tcPr>
          <w:p>
            <w:pPr>
              <w:pStyle w:val="Header"/>
              <w:ind w:start="-108" w:end="0"/>
              <w:rPr/>
            </w:pPr>
            <w:r>
              <w:rPr/>
              <w:t>Karen Vasudavan</w:t>
              <w:br/>
            </w:r>
            <w:r>
              <w:rPr>
                <w:i/>
              </w:rPr>
              <w:t>Associate</w:t>
            </w:r>
          </w:p>
          <w:p>
            <w:pPr>
              <w:pStyle w:val="Header"/>
              <w:ind w:start="-108" w:end="0"/>
              <w:jc w:val="both"/>
              <w:rPr>
                <w:i/>
                <w:i/>
              </w:rPr>
            </w:pPr>
            <w:r>
              <w:rPr>
                <w:i/>
              </w:rPr>
            </w:r>
          </w:p>
        </w:tc>
        <w:tc>
          <w:tcPr>
            <w:tcW w:w="1620" w:type="dxa"/>
            <w:tcBorders/>
          </w:tcPr>
          <w:p>
            <w:pPr>
              <w:pStyle w:val="Header"/>
              <w:tabs>
                <w:tab w:val="left" w:pos="335" w:leader="none"/>
                <w:tab w:val="center" w:pos="4320" w:leader="none"/>
                <w:tab w:val="right" w:pos="8640" w:leader="none"/>
              </w:tabs>
              <w:spacing w:before="0" w:after="60"/>
              <w:ind w:start="-108" w:end="0"/>
              <w:jc w:val="both"/>
              <w:rPr/>
            </w:pPr>
            <w:r>
              <w:rPr/>
              <w:t>(650) 234-2402</w:t>
            </w:r>
          </w:p>
        </w:tc>
      </w:tr>
      <w:tr>
        <w:trPr>
          <w:trHeight w:val="240" w:hRule="atLeast"/>
        </w:trPr>
        <w:tc>
          <w:tcPr>
            <w:tcW w:w="2970" w:type="dxa"/>
            <w:tcBorders/>
          </w:tcPr>
          <w:p>
            <w:pPr>
              <w:pStyle w:val="Header"/>
              <w:snapToGrid w:val="false"/>
              <w:jc w:val="center"/>
              <w:rPr>
                <w:sz w:val="18"/>
              </w:rPr>
            </w:pPr>
            <w:r>
              <w:rPr>
                <w:sz w:val="18"/>
              </w:rPr>
            </w:r>
          </w:p>
        </w:tc>
        <w:tc>
          <w:tcPr>
            <w:tcW w:w="1710" w:type="dxa"/>
            <w:tcBorders/>
          </w:tcPr>
          <w:p>
            <w:pPr>
              <w:pStyle w:val="Header"/>
              <w:tabs>
                <w:tab w:val="left" w:pos="335" w:leader="none"/>
                <w:tab w:val="center" w:pos="4320" w:leader="none"/>
                <w:tab w:val="right" w:pos="8640" w:leader="none"/>
              </w:tabs>
              <w:snapToGrid w:val="false"/>
              <w:spacing w:before="0" w:after="60"/>
              <w:ind w:start="-108" w:end="0"/>
              <w:rPr>
                <w:sz w:val="18"/>
              </w:rPr>
            </w:pPr>
            <w:r>
              <w:rPr>
                <w:sz w:val="18"/>
              </w:rPr>
            </w:r>
          </w:p>
        </w:tc>
        <w:tc>
          <w:tcPr>
            <w:tcW w:w="360" w:type="dxa"/>
            <w:gridSpan w:val="2"/>
            <w:tcBorders/>
          </w:tcPr>
          <w:p>
            <w:pPr>
              <w:pStyle w:val="Header"/>
              <w:snapToGrid w:val="false"/>
              <w:ind w:start="-115" w:end="0"/>
              <w:rPr/>
            </w:pPr>
            <w:r>
              <w:rPr/>
            </w:r>
          </w:p>
        </w:tc>
        <w:tc>
          <w:tcPr>
            <w:tcW w:w="2700" w:type="dxa"/>
            <w:tcBorders/>
          </w:tcPr>
          <w:p>
            <w:pPr>
              <w:pStyle w:val="Header"/>
              <w:ind w:start="-108" w:end="0"/>
              <w:jc w:val="both"/>
              <w:rPr/>
            </w:pPr>
            <w:r>
              <w:rPr/>
              <w:t>Bronco Svec</w:t>
            </w:r>
          </w:p>
          <w:p>
            <w:pPr>
              <w:pStyle w:val="Header"/>
              <w:ind w:start="-108" w:end="0"/>
              <w:jc w:val="both"/>
              <w:rPr>
                <w:i/>
                <w:i/>
              </w:rPr>
            </w:pPr>
            <w:r>
              <w:rPr>
                <w:i/>
              </w:rPr>
              <w:t>Financial Analyst</w:t>
            </w:r>
          </w:p>
          <w:p>
            <w:pPr>
              <w:pStyle w:val="Header"/>
              <w:ind w:start="-108" w:end="0"/>
              <w:jc w:val="both"/>
              <w:rPr>
                <w:i/>
                <w:i/>
              </w:rPr>
            </w:pPr>
            <w:r>
              <w:rPr>
                <w:i/>
              </w:rPr>
            </w:r>
          </w:p>
        </w:tc>
        <w:tc>
          <w:tcPr>
            <w:tcW w:w="1620" w:type="dxa"/>
            <w:tcBorders/>
          </w:tcPr>
          <w:p>
            <w:pPr>
              <w:pStyle w:val="Header"/>
              <w:tabs>
                <w:tab w:val="left" w:pos="335" w:leader="none"/>
                <w:tab w:val="center" w:pos="4320" w:leader="none"/>
                <w:tab w:val="right" w:pos="8640" w:leader="none"/>
              </w:tabs>
              <w:spacing w:before="0" w:after="60"/>
              <w:ind w:start="-108" w:end="0"/>
              <w:rPr/>
            </w:pPr>
            <w:r>
              <w:rPr/>
              <w:t>(650) 234-2420</w:t>
            </w:r>
          </w:p>
        </w:tc>
      </w:tr>
    </w:tbl>
    <w:p>
      <w:pPr>
        <w:pStyle w:val="Header"/>
        <w:jc w:val="both"/>
        <w:rPr>
          <w:rFonts w:ascii="Arial" w:hAnsi="Arial" w:cs="Arial"/>
        </w:rPr>
      </w:pPr>
      <w:r>
        <w:rPr>
          <w:rFonts w:cs="Arial" w:ascii="Arial" w:hAnsi="Arial"/>
        </w:rPr>
      </w:r>
    </w:p>
    <w:p>
      <w:pPr>
        <w:pStyle w:val="Header"/>
        <w:tabs>
          <w:tab w:val="clear" w:pos="8640"/>
          <w:tab w:val="center" w:pos="4320" w:leader="none"/>
          <w:tab w:val="left" w:pos="6120" w:leader="none"/>
        </w:tabs>
        <w:jc w:val="center"/>
        <w:rPr>
          <w:rFonts w:ascii="Arial" w:hAnsi="Arial" w:cs="Arial"/>
          <w:b/>
          <w:sz w:val="32"/>
        </w:rPr>
      </w:pPr>
      <w:r>
        <w:rPr>
          <w:rFonts w:cs="Arial" w:ascii="Arial" w:hAnsi="Arial"/>
          <w:b/>
          <w:sz w:val="32"/>
        </w:rPr>
      </w:r>
    </w:p>
    <w:p>
      <w:pPr>
        <w:pStyle w:val="Header"/>
        <w:tabs>
          <w:tab w:val="clear" w:pos="8640"/>
          <w:tab w:val="center" w:pos="4320" w:leader="none"/>
          <w:tab w:val="left" w:pos="6120" w:leader="none"/>
        </w:tabs>
        <w:jc w:val="center"/>
        <w:rPr>
          <w:b/>
          <w:sz w:val="32"/>
        </w:rPr>
      </w:pPr>
      <w:r>
        <w:rPr>
          <w:b/>
          <w:sz w:val="32"/>
        </w:rPr>
      </w:r>
    </w:p>
    <w:p>
      <w:pPr>
        <w:pStyle w:val="Header"/>
        <w:tabs>
          <w:tab w:val="clear" w:pos="8640"/>
          <w:tab w:val="center" w:pos="4320" w:leader="none"/>
          <w:tab w:val="left" w:pos="6120" w:leader="none"/>
        </w:tabs>
        <w:jc w:val="center"/>
        <w:rPr>
          <w:b/>
          <w:sz w:val="32"/>
        </w:rPr>
      </w:pPr>
      <w:r>
        <w:rPr>
          <w:b/>
          <w:sz w:val="32"/>
        </w:rPr>
      </w:r>
    </w:p>
    <w:p>
      <w:pPr>
        <w:pStyle w:val="Header"/>
        <w:tabs>
          <w:tab w:val="clear" w:pos="8640"/>
          <w:tab w:val="center" w:pos="4320" w:leader="none"/>
          <w:tab w:val="left" w:pos="6120" w:leader="none"/>
        </w:tabs>
        <w:jc w:val="center"/>
        <w:rPr>
          <w:b/>
          <w:sz w:val="32"/>
        </w:rPr>
      </w:pPr>
      <w:r>
        <w:rPr>
          <w:b/>
          <w:sz w:val="32"/>
        </w:rPr>
        <w:t>Confidential</w:t>
      </w:r>
    </w:p>
    <w:p>
      <w:pPr>
        <w:pStyle w:val="Header"/>
        <w:tabs>
          <w:tab w:val="clear" w:pos="4320"/>
          <w:tab w:val="clear" w:pos="8640"/>
        </w:tabs>
        <w:rPr>
          <w:b/>
          <w:sz w:val="32"/>
        </w:rPr>
      </w:pPr>
      <w:r>
        <w:rPr>
          <w:b/>
          <w:sz w:val="32"/>
        </w:rPr>
      </w:r>
    </w:p>
    <w:p>
      <w:pPr>
        <w:sectPr>
          <w:headerReference w:type="default" r:id="rId2"/>
          <w:footerReference w:type="default" r:id="rId3"/>
          <w:type w:val="nextPage"/>
          <w:pgSz w:w="12240" w:h="15840"/>
          <w:pgMar w:left="1440" w:right="1440" w:gutter="0" w:header="576" w:top="1440" w:footer="576" w:bottom="1584"/>
          <w:pgNumType w:fmt="decimal"/>
          <w:formProt w:val="false"/>
          <w:textDirection w:val="lrTb"/>
          <w:docGrid w:type="default" w:linePitch="360" w:charSpace="0"/>
        </w:sectPr>
      </w:pPr>
    </w:p>
    <w:p>
      <w:pPr>
        <w:pStyle w:val="Normal"/>
        <w:jc w:val="both"/>
        <w:rPr/>
      </w:pPr>
      <w:r>
        <w:rPr/>
      </w:r>
    </w:p>
    <w:p>
      <w:pPr>
        <w:pStyle w:val="Header"/>
        <w:tabs>
          <w:tab w:val="clear" w:pos="4320"/>
          <w:tab w:val="clear" w:pos="8640"/>
          <w:tab w:val="left" w:pos="1440" w:leader="none"/>
          <w:tab w:val="left" w:pos="1980" w:leader="none"/>
          <w:tab w:val="right" w:pos="9000" w:leader="none"/>
        </w:tabs>
        <w:jc w:val="both"/>
        <w:rPr>
          <w:b/>
        </w:rPr>
      </w:pPr>
      <w:r>
        <w:rPr>
          <w:b/>
        </w:rPr>
      </w:r>
    </w:p>
    <w:p>
      <w:pPr>
        <w:sectPr>
          <w:type w:val="continuous"/>
          <w:pgSz w:w="12240" w:h="15840"/>
          <w:pgMar w:left="1440" w:right="1440" w:gutter="0" w:header="576" w:top="1440" w:footer="576" w:bottom="1584"/>
          <w:formProt w:val="false"/>
          <w:textDirection w:val="lrTb"/>
          <w:docGrid w:type="default" w:linePitch="360" w:charSpace="0"/>
        </w:sectPr>
      </w:pPr>
    </w:p>
    <w:p>
      <w:pPr>
        <w:pStyle w:val="BodyText"/>
        <w:jc w:val="both"/>
        <w:rPr>
          <w:sz w:val="20"/>
        </w:rPr>
      </w:pPr>
      <w:r>
        <w:rPr>
          <w:sz w:val="20"/>
        </w:rPr>
        <w:t>The Company is a leading provider of packaged software and related services to natural gas facility operators in North America, South America and Europe.  Natural gas facility operators include intrastate and interstate pipelines, local distribution companies as well as gathering, storage and processing companies. The Company’s core software application enables facility operators to efficiently manage their contracting and scheduling activities, and provides a Web interface. As a result, the operators can leverage their middle- and back-end systems to increase revenue potential, reduce operational costs through automation and accurate settlement accounting, interact with multiple parties through a Web interface and conduct transactions over the Internet. This functionality, which is critical to the transportation of natural gas, includes receipt and confirmation of schedules, capacity allocation and release, as well as preparation of shipper invoices and remittance. The software also accommodates multiple currencies, units of measurement and conversions, and is the only packaged software solution certified as compliant with the Gas Industry Standards Board (“GISB”) standards for electronic commerce.  The Company also provides customers with implementation, integration and maintenance services.</w:t>
      </w:r>
    </w:p>
    <w:p>
      <w:pPr>
        <w:pStyle w:val="BodyText"/>
        <w:jc w:val="both"/>
        <w:rPr>
          <w:sz w:val="20"/>
        </w:rPr>
      </w:pPr>
      <w:r>
        <w:rPr>
          <w:sz w:val="20"/>
        </w:rPr>
      </w:r>
    </w:p>
    <w:p>
      <w:pPr>
        <w:pStyle w:val="BodyText"/>
        <w:jc w:val="both"/>
        <w:rPr>
          <w:sz w:val="20"/>
        </w:rPr>
      </w:pPr>
      <w:r>
        <w:rPr>
          <w:sz w:val="20"/>
        </w:rPr>
        <w:t>To date, the Company has sold 38 core systems.  Pricing varies based on a number of factors with the Company having sold licenses ranging from $200,000 to $3.8 million.  Annual maintenance contracts are typically sold for 20% of the license fee.  Implementation and integration services, usually billed on a time and materials basis, range from 1.0x to 1.5x the license fee.</w:t>
      </w:r>
    </w:p>
    <w:p>
      <w:pPr>
        <w:pStyle w:val="BodyText"/>
        <w:jc w:val="both"/>
        <w:rPr>
          <w:sz w:val="20"/>
        </w:rPr>
      </w:pPr>
      <w:r>
        <w:rPr>
          <w:sz w:val="20"/>
        </w:rPr>
      </w:r>
    </w:p>
    <w:p>
      <w:pPr>
        <w:pStyle w:val="Header"/>
        <w:tabs>
          <w:tab w:val="left" w:pos="1440" w:leader="none"/>
          <w:tab w:val="left" w:pos="1980" w:leader="none"/>
          <w:tab w:val="center" w:pos="4320" w:leader="none"/>
          <w:tab w:val="right" w:pos="8640" w:leader="none"/>
          <w:tab w:val="right" w:pos="9000" w:leader="none"/>
        </w:tabs>
        <w:jc w:val="both"/>
        <w:rPr>
          <w:sz w:val="20"/>
        </w:rPr>
      </w:pPr>
      <w:r>
        <w:rPr>
          <w:sz w:val="20"/>
        </w:rPr>
        <w:t>The Company is experiencing strong growth in software license, services and maintenance revenues.  Management expects its revenue to grow from $5.4 million in 1998 to $13.5 million in 2000, or at a compound annual growth rate of 58% and its operating income to increase from approximately ($2.0) million to $2.4 million over the same time period.  In the last twelve months ended March 31, 2000, the Company had revenue and operating income of $13.1 million and $2.1 million, respectively. Projected revenue and operating income for 2001 are $18.2 million and $5.2 million, respectively.</w:t>
      </w:r>
    </w:p>
    <w:p>
      <w:pPr>
        <w:pStyle w:val="BodyText"/>
        <w:jc w:val="both"/>
        <w:rPr>
          <w:sz w:val="20"/>
        </w:rPr>
      </w:pPr>
      <w:r>
        <w:rPr>
          <w:sz w:val="20"/>
        </w:rPr>
      </w:r>
    </w:p>
    <w:p>
      <w:pPr>
        <w:pStyle w:val="BodyText"/>
        <w:jc w:val="both"/>
        <w:rPr>
          <w:sz w:val="20"/>
        </w:rPr>
      </w:pPr>
      <w:r>
        <w:rPr>
          <w:sz w:val="20"/>
        </w:rPr>
        <w:t>Several drivers provide strong impetus to the Company’s addressable worldwide gas pipeline software market,  estimated at approximately $4 billion, from which the Company is uniquely positioned to benefit: (i) approximately 80% of the Company’s addressable market or 2,300 facilities have inadequate legacy IT systems to function effectively within a rigorous e-commerce environment; (ii) more gas pipelines and gas-fired turbines are being constructed to meet the increasing global consumption; pipeline mileage grew 250% over the last 5 years; (iii) the Federal Energy Regulatory Commission (“FERC”) and the European Union require facility operators to provide Internet-based access to shippers; (iv) deregulation within the global natural gas market has resulted in multiple participants along the value chain who must interact regularly to efficiently transport natural gas from the production points to end-users; and (v) peak load demand is expected to transition the U.S. natural gas market from a daily to hourly market, thereby creating a need for more flexible, robust IT systems, such as the Company’s software solutions.</w:t>
      </w:r>
    </w:p>
    <w:p>
      <w:pPr>
        <w:pStyle w:val="BodyText"/>
        <w:jc w:val="both"/>
        <w:rPr>
          <w:vanish/>
          <w:color w:val="FF0000"/>
          <w:sz w:val="28"/>
        </w:rPr>
      </w:pPr>
      <w:r>
        <w:rPr>
          <w:vanish/>
          <w:color w:val="FF0000"/>
          <w:sz w:val="28"/>
        </w:rPr>
        <w:t>In order to update excel chart below just double click on it.</w:t>
      </w:r>
    </w:p>
    <w:p>
      <w:pPr>
        <w:pStyle w:val="BodyText"/>
        <w:spacing w:before="240" w:after="0"/>
        <w:jc w:val="both"/>
        <w:rPr/>
      </w:pPr>
      <w:r>
        <w:rPr>
          <w:b/>
          <w:sz w:val="18"/>
        </w:rPr>
        <w:t xml:space="preserve">Summary Income Statement </w:t>
      </w:r>
      <w:r>
        <w:rPr>
          <w:b/>
          <w:sz w:val="18"/>
          <w:vertAlign w:val="superscript"/>
        </w:rPr>
        <w:t>(1)</w:t>
      </w:r>
      <w:r>
        <w:rPr>
          <w:rFonts w:cs="Arial" w:ascii="Arial" w:hAnsi="Arial"/>
          <w:b/>
          <w:sz w:val="18"/>
        </w:rPr>
        <w:t xml:space="preserve"> </w:t>
      </w:r>
    </w:p>
    <w:p>
      <w:pPr>
        <w:pStyle w:val="BodyText"/>
        <w:pBdr>
          <w:bottom w:val="single" w:sz="4" w:space="8" w:color="000000"/>
        </w:pBdr>
        <w:spacing w:before="0" w:after="40"/>
        <w:ind w:end="7200"/>
        <w:rPr>
          <w:sz w:val="14"/>
        </w:rPr>
      </w:pPr>
      <w:r>
        <w:rPr>
          <w:sz w:val="14"/>
        </w:rPr>
        <w:drawing>
          <wp:inline distT="0" distB="0" distL="0" distR="0">
            <wp:extent cx="5939155" cy="2460625"/>
            <wp:effectExtent l="0" t="0" r="0" b="0"/>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4"/>
                    <a:srcRect l="-5" t="-11" r="-5" b="-11"/>
                    <a:stretch>
                      <a:fillRect/>
                    </a:stretch>
                  </pic:blipFill>
                  <pic:spPr bwMode="auto">
                    <a:xfrm>
                      <a:off x="0" y="0"/>
                      <a:ext cx="5939155" cy="2460625"/>
                    </a:xfrm>
                    <a:prstGeom prst="rect">
                      <a:avLst/>
                    </a:prstGeom>
                    <a:noFill/>
                  </pic:spPr>
                </pic:pic>
              </a:graphicData>
            </a:graphic>
          </wp:inline>
        </w:drawing>
      </w:r>
    </w:p>
    <w:p>
      <w:pPr>
        <w:pStyle w:val="BodyText"/>
        <w:ind w:hanging="360" w:start="360" w:end="0"/>
        <w:rPr>
          <w:i/>
          <w:i/>
          <w:sz w:val="14"/>
        </w:rPr>
      </w:pPr>
      <w:r>
        <w:rPr>
          <w:i/>
          <w:sz w:val="14"/>
        </w:rPr>
        <w:t>(1)</w:t>
        <w:tab/>
        <w:t>Unaudited.</w:t>
      </w:r>
    </w:p>
    <w:sectPr>
      <w:headerReference w:type="default" r:id="rId5"/>
      <w:footerReference w:type="default" r:id="rId6"/>
      <w:type w:val="nextPage"/>
      <w:pgSz w:w="12240" w:h="15840"/>
      <w:pgMar w:left="1440" w:right="1440" w:gutter="0" w:header="576" w:top="1296" w:footer="576"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Monotype Sorts">
    <w:charset w:val="02"/>
    <w:family w:val="auto"/>
    <w:pitch w:val="variable"/>
  </w:font>
  <w:font w:name="Liberation Sans">
    <w:altName w:val="Arial"/>
    <w:charset w:val="01" w:characterSet="utf-8"/>
    <w:family w:val="swiss"/>
    <w:pitch w:val="variable"/>
  </w:font>
  <w:font w:name="Univer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rPr/>
    </w:pPr>
    <w:r>
      <mc:AlternateContent>
        <mc:Choice Requires="wps">
          <w:drawing>
            <wp:anchor behindDoc="1" distT="0" distB="0" distL="114935" distR="114935" simplePos="0" locked="0" layoutInCell="1" allowOverlap="1" relativeHeight="5">
              <wp:simplePos x="0" y="0"/>
              <wp:positionH relativeFrom="column">
                <wp:posOffset>731520</wp:posOffset>
              </wp:positionH>
              <wp:positionV relativeFrom="paragraph">
                <wp:posOffset>31750</wp:posOffset>
              </wp:positionV>
              <wp:extent cx="5212080" cy="0"/>
              <wp:effectExtent l="0" t="28575" r="0" b="28575"/>
              <wp:wrapNone/>
              <wp:docPr id="1" name=""/>
              <a:graphic xmlns:a="http://schemas.openxmlformats.org/drawingml/2006/main">
                <a:graphicData uri="http://schemas.microsoft.com/office/word/2010/wordprocessingShape">
                  <wps:wsp>
                    <wps:cNvSpPr/>
                    <wps:spPr>
                      <a:xfrm>
                        <a:off x="0" y="0"/>
                        <a:ext cx="5212080" cy="0"/>
                      </a:xfrm>
                      <a:prstGeom prst="line">
                        <a:avLst/>
                      </a:prstGeom>
                      <a:ln w="57240">
                        <a:solidFill>
                          <a:srgbClr val="000000"/>
                        </a:solidFill>
                        <a:miter/>
                      </a:ln>
                    </wps:spPr>
                    <wps:style>
                      <a:lnRef idx="0"/>
                      <a:fillRef idx="0"/>
                      <a:effectRef idx="0"/>
                      <a:fontRef idx="minor"/>
                    </wps:style>
                    <wps:bodyPr/>
                  </wps:wsp>
                </a:graphicData>
              </a:graphic>
            </wp:anchor>
          </w:drawing>
        </mc:Choice>
        <mc:Fallback>
          <w:pict>
            <v:line id="shape_0" from="57.6pt,2.5pt" to="467.95pt,2.5pt" stroked="t" o:allowincell="f" style="position:absolute">
              <v:stroke color="black" weight="57240" joinstyle="miter" endcap="flat"/>
              <v:fill o:detectmouseclick="t" on="false"/>
              <w10:wrap type="none"/>
            </v:line>
          </w:pict>
        </mc:Fallback>
      </mc:AlternateContent>
    </w:r>
    <w:r>
      <w:rPr>
        <w:b/>
        <w:sz w:val="28"/>
      </w:rPr>
      <w:drawing>
        <wp:inline distT="0" distB="0" distL="0" distR="0">
          <wp:extent cx="1553845" cy="404495"/>
          <wp:effectExtent l="0" t="0" r="0" b="0"/>
          <wp:docPr id="2" name="wmc"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mc" descr="" title=""/>
                  <pic:cNvPicPr>
                    <a:picLocks noChangeAspect="1" noChangeArrowheads="1"/>
                  </pic:cNvPicPr>
                </pic:nvPicPr>
                <pic:blipFill>
                  <a:blip r:embed="rId1"/>
                  <a:srcRect l="-7" t="-29" r="-7" b="-29"/>
                  <a:stretch>
                    <a:fillRect/>
                  </a:stretch>
                </pic:blipFill>
                <pic:spPr bwMode="auto">
                  <a:xfrm>
                    <a:off x="0" y="0"/>
                    <a:ext cx="1553845" cy="404495"/>
                  </a:xfrm>
                  <a:prstGeom prst="rect">
                    <a:avLst/>
                  </a:prstGeom>
                  <a:noFill/>
                </pic:spPr>
              </pic:pic>
            </a:graphicData>
          </a:graphic>
        </wp:inline>
      </w:drawing>
    </w:r>
    <w:r>
      <w:rPr>
        <w:b/>
        <w:sz w:val="28"/>
      </w:rPr>
      <w:tab/>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rPr/>
    </w:pPr>
    <w:r>
      <mc:AlternateContent>
        <mc:Choice Requires="wps">
          <w:drawing>
            <wp:anchor behindDoc="1" distT="0" distB="0" distL="114935" distR="114935" simplePos="0" locked="0" layoutInCell="1" allowOverlap="1" relativeHeight="8">
              <wp:simplePos x="0" y="0"/>
              <wp:positionH relativeFrom="column">
                <wp:posOffset>731520</wp:posOffset>
              </wp:positionH>
              <wp:positionV relativeFrom="paragraph">
                <wp:posOffset>31750</wp:posOffset>
              </wp:positionV>
              <wp:extent cx="5212080" cy="0"/>
              <wp:effectExtent l="0" t="28575" r="0" b="28575"/>
              <wp:wrapNone/>
              <wp:docPr id="5" name=""/>
              <a:graphic xmlns:a="http://schemas.openxmlformats.org/drawingml/2006/main">
                <a:graphicData uri="http://schemas.microsoft.com/office/word/2010/wordprocessingShape">
                  <wps:wsp>
                    <wps:cNvSpPr/>
                    <wps:spPr>
                      <a:xfrm>
                        <a:off x="0" y="0"/>
                        <a:ext cx="5212080" cy="0"/>
                      </a:xfrm>
                      <a:prstGeom prst="line">
                        <a:avLst/>
                      </a:prstGeom>
                      <a:ln w="57240">
                        <a:solidFill>
                          <a:srgbClr val="000000"/>
                        </a:solidFill>
                        <a:miter/>
                      </a:ln>
                    </wps:spPr>
                    <wps:style>
                      <a:lnRef idx="0"/>
                      <a:fillRef idx="0"/>
                      <a:effectRef idx="0"/>
                      <a:fontRef idx="minor"/>
                    </wps:style>
                    <wps:bodyPr/>
                  </wps:wsp>
                </a:graphicData>
              </a:graphic>
            </wp:anchor>
          </w:drawing>
        </mc:Choice>
        <mc:Fallback>
          <w:pict>
            <v:line id="shape_0" from="57.6pt,2.5pt" to="467.95pt,2.5pt" stroked="t" o:allowincell="f" style="position:absolute">
              <v:stroke color="black" weight="57240" joinstyle="miter" endcap="flat"/>
              <v:fill o:detectmouseclick="t" on="false"/>
              <w10:wrap type="none"/>
            </v:line>
          </w:pict>
        </mc:Fallback>
      </mc:AlternateContent>
    </w:r>
    <w:r>
      <w:rPr>
        <w:b/>
        <w:sz w:val="28"/>
      </w:rPr>
      <w:drawing>
        <wp:inline distT="0" distB="0" distL="0" distR="0">
          <wp:extent cx="1553845" cy="404495"/>
          <wp:effectExtent l="0" t="0" r="0" b="0"/>
          <wp:docPr id="6"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descr="" title=""/>
                  <pic:cNvPicPr>
                    <a:picLocks noChangeAspect="1" noChangeArrowheads="1"/>
                  </pic:cNvPicPr>
                </pic:nvPicPr>
                <pic:blipFill>
                  <a:blip r:embed="rId1"/>
                  <a:srcRect l="-7" t="-29" r="-7" b="-29"/>
                  <a:stretch>
                    <a:fillRect/>
                  </a:stretch>
                </pic:blipFill>
                <pic:spPr bwMode="auto">
                  <a:xfrm>
                    <a:off x="0" y="0"/>
                    <a:ext cx="1553845" cy="404495"/>
                  </a:xfrm>
                  <a:prstGeom prst="rect">
                    <a:avLst/>
                  </a:prstGeom>
                  <a:noFill/>
                </pic:spPr>
              </pic:pic>
            </a:graphicData>
          </a:graphic>
        </wp:inline>
      </w:drawing>
    </w:r>
    <w:r>
      <w:rPr>
        <w:b/>
        <w:sz w:val="28"/>
      </w:rPr>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b/>
        <w:i/>
        <w:i/>
        <w:smallCaps/>
        <w:sz w:val="32"/>
      </w:rPr>
    </w:pPr>
    <w:r>
      <w:rPr>
        <w:b/>
        <w:i/>
        <w:smallCaps/>
        <w:sz w:val="32"/>
      </w:rPr>
      <w:tab/>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pPr>
    <w:r>
      <mc:AlternateContent>
        <mc:Choice Requires="wps">
          <w:drawing>
            <wp:anchor behindDoc="1" distT="0" distB="0" distL="114935" distR="114935" simplePos="0" locked="0" layoutInCell="1" allowOverlap="1" relativeHeight="7">
              <wp:simplePos x="0" y="0"/>
              <wp:positionH relativeFrom="column">
                <wp:posOffset>0</wp:posOffset>
              </wp:positionH>
              <wp:positionV relativeFrom="paragraph">
                <wp:posOffset>274320</wp:posOffset>
              </wp:positionV>
              <wp:extent cx="5943600" cy="0"/>
              <wp:effectExtent l="0" t="28575" r="0" b="28575"/>
              <wp:wrapNone/>
              <wp:docPr id="4" name=""/>
              <a:graphic xmlns:a="http://schemas.openxmlformats.org/drawingml/2006/main">
                <a:graphicData uri="http://schemas.microsoft.com/office/word/2010/wordprocessingShape">
                  <wps:wsp>
                    <wps:cNvSpPr/>
                    <wps:spPr>
                      <a:xfrm>
                        <a:off x="0" y="0"/>
                        <a:ext cx="5943600" cy="0"/>
                      </a:xfrm>
                      <a:prstGeom prst="line">
                        <a:avLst/>
                      </a:prstGeom>
                      <a:ln w="57240">
                        <a:solidFill>
                          <a:srgbClr val="000000"/>
                        </a:solidFill>
                        <a:miter/>
                      </a:ln>
                    </wps:spPr>
                    <wps:style>
                      <a:lnRef idx="0"/>
                      <a:fillRef idx="0"/>
                      <a:effectRef idx="0"/>
                      <a:fontRef idx="minor"/>
                    </wps:style>
                    <wps:bodyPr/>
                  </wps:wsp>
                </a:graphicData>
              </a:graphic>
            </wp:anchor>
          </w:drawing>
        </mc:Choice>
        <mc:Fallback>
          <w:pict>
            <v:line id="shape_0" from="0pt,21.6pt" to="467.95pt,21.6pt" stroked="t" o:allowincell="f" style="position:absolute">
              <v:stroke color="black" weight="57240" joinstyle="miter" endcap="flat"/>
              <v:fill o:detectmouseclick="t" on="false"/>
              <w10:wrap type="none"/>
            </v:line>
          </w:pict>
        </mc:Fallback>
      </mc:AlternateContent>
    </w:r>
    <w:r>
      <w:rPr>
        <w:b/>
        <w:i/>
        <w:smallCaps/>
        <w:sz w:val="32"/>
      </w:rPr>
      <w:t xml:space="preserve">Project Pipeline Overview   </w:t>
      <w:tab/>
      <w:tab/>
    </w:r>
    <w:r>
      <w:rPr>
        <w:b/>
        <w:sz w:val="32"/>
      </w:rPr>
      <w:t>Confidential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440"/>
        </w:tabs>
        <w:ind w:start="1440" w:hanging="720"/>
      </w:pPr>
      <w:rPr>
        <w:rFonts w:ascii="Times New Roman" w:hAnsi="Times New Roman" w:cs="Times New Roman" w:hint="default"/>
        <w:smallCaps w:val="false"/>
        <w:caps w:val="false"/>
        <w:outline w:val="false"/>
        <w:dstrike w:val="false"/>
        <w:strike w:val="false"/>
        <w:vertAlign w:val="baseline"/>
        <w:position w:val="0"/>
        <w:sz w:val="24"/>
        <w:sz w:val="24"/>
        <w:i w:val="false"/>
        <w:shadow w:val="false"/>
        <w:b w:val="false"/>
        <w:vanish w:val="false"/>
        <w:color w:val="808080"/>
      </w:rPr>
    </w:lvl>
    <w:lvl w:ilvl="1">
      <w:start w:val="1"/>
      <w:numFmt w:val="bullet"/>
      <w:lvlText w:val=""/>
      <w:lvlJc w:val="start"/>
      <w:pPr>
        <w:tabs>
          <w:tab w:val="num" w:pos="1440"/>
        </w:tabs>
        <w:ind w:start="1440" w:hanging="360"/>
      </w:pPr>
      <w:rPr>
        <w:rFonts w:ascii="Wingdings" w:hAnsi="Wingdings" w:cs="Wingdings" w:hint="default"/>
        <w:sz w:val="24"/>
        <w:i w:val="false"/>
        <w:b w:val="false"/>
      </w:rPr>
    </w:lvl>
    <w:lvl w:ilvl="2">
      <w:start w:val="1"/>
      <w:numFmt w:val="bullet"/>
      <w:lvlText w:val=""/>
      <w:lvlJc w:val="start"/>
      <w:pPr>
        <w:tabs>
          <w:tab w:val="num" w:pos="1800"/>
        </w:tabs>
        <w:ind w:start="1728" w:hanging="288"/>
      </w:pPr>
      <w:rPr>
        <w:rFonts w:ascii="Symbol" w:hAnsi="Symbol" w:cs="Symbol" w:hint="default"/>
        <w:smallCaps w:val="false"/>
        <w:caps w:val="false"/>
        <w:outline w:val="false"/>
        <w:dstrike w:val="false"/>
        <w:strike w:val="false"/>
        <w:vertAlign w:val="baseline"/>
        <w:position w:val="0"/>
        <w:sz w:val="24"/>
        <w:sz w:val="24"/>
        <w:i w:val="false"/>
        <w:shadow w:val="false"/>
        <w:b w:val="false"/>
        <w:vanish w:val="false"/>
      </w:rPr>
    </w:lvl>
    <w:lvl w:ilvl="3">
      <w:start w:val="1"/>
      <w:numFmt w:val="bullet"/>
      <w:lvlText w:val=""/>
      <w:lvlJc w:val="start"/>
      <w:pPr>
        <w:tabs>
          <w:tab w:val="num" w:pos="3600"/>
        </w:tabs>
        <w:ind w:start="3600" w:hanging="720"/>
      </w:pPr>
      <w:rPr>
        <w:rFonts w:ascii="Wingdings" w:hAnsi="Wingdings" w:cs="Wingdings" w:hint="default"/>
        <w:smallCaps w:val="false"/>
        <w:caps w:val="false"/>
        <w:outline w:val="false"/>
        <w:dstrike w:val="false"/>
        <w:strike w:val="false"/>
        <w:vertAlign w:val="baseline"/>
        <w:position w:val="0"/>
        <w:sz w:val="24"/>
        <w:sz w:val="24"/>
        <w:i w:val="false"/>
        <w:shadow w:val="false"/>
        <w:b w:val="false"/>
        <w:vanish w:val="false"/>
      </w:rPr>
    </w:lvl>
    <w:lvl w:ilvl="4">
      <w:start w:val="1"/>
      <w:numFmt w:val="bullet"/>
      <w:lvlText w:val=""/>
      <w:lvlJc w:val="start"/>
      <w:pPr>
        <w:tabs>
          <w:tab w:val="num" w:pos="720"/>
        </w:tabs>
        <w:ind w:start="720" w:hanging="720"/>
      </w:pPr>
      <w:rPr>
        <w:rFonts w:ascii="Monotype Sorts" w:hAnsi="Monotype Sorts" w:cs="Monotype Sorts" w:hint="default"/>
        <w:smallCaps w:val="false"/>
        <w:caps w:val="false"/>
        <w:outline w:val="false"/>
        <w:dstrike w:val="false"/>
        <w:strike w:val="false"/>
        <w:vertAlign w:val="baseline"/>
        <w:position w:val="0"/>
        <w:sz w:val="24"/>
        <w:sz w:val="24"/>
        <w:i w:val="false"/>
        <w:shadow w:val="false"/>
        <w:u w:val="none"/>
        <w:b w:val="false"/>
        <w:vanish w:val="false"/>
        <w:color w:val="008000"/>
      </w:rPr>
    </w:lvl>
    <w:lvl w:ilvl="5">
      <w:start w:val="1"/>
      <w:numFmt w:val="bullet"/>
      <w:lvlText w:val=""/>
      <w:lvlJc w:val="start"/>
      <w:pPr>
        <w:tabs>
          <w:tab w:val="num" w:pos="720"/>
        </w:tabs>
        <w:ind w:start="720" w:hanging="720"/>
      </w:pPr>
      <w:rPr>
        <w:rFonts w:ascii="Monotype Sorts" w:hAnsi="Monotype Sorts" w:cs="Monotype Sorts" w:hint="default"/>
        <w:smallCaps w:val="false"/>
        <w:caps w:val="false"/>
        <w:outline w:val="false"/>
        <w:dstrike w:val="false"/>
        <w:strike w:val="false"/>
        <w:vertAlign w:val="baseline"/>
        <w:position w:val="0"/>
        <w:sz w:val="24"/>
        <w:sz w:val="24"/>
        <w:i w:val="false"/>
        <w:shadow w:val="false"/>
        <w:u w:val="none"/>
        <w:b w:val="false"/>
        <w:vanish w:val="false"/>
        <w:color w:val="FF0000"/>
      </w:rPr>
    </w:lvl>
    <w:lvl w:ilvl="6">
      <w:start w:val="1"/>
      <w:numFmt w:val="bullet"/>
      <w:lvlText w:val=""/>
      <w:lvlJc w:val="start"/>
      <w:pPr>
        <w:tabs>
          <w:tab w:val="num" w:pos="3600"/>
        </w:tabs>
        <w:ind w:start="3600" w:hanging="720"/>
      </w:pPr>
      <w:rPr>
        <w:rFonts w:ascii="Wingdings" w:hAnsi="Wingdings" w:cs="Wingdings" w:hint="default"/>
      </w:rPr>
    </w:lvl>
    <w:lvl w:ilvl="7">
      <w:start w:val="1"/>
      <w:numFmt w:val="bullet"/>
      <w:lvlText w:val=""/>
      <w:lvlJc w:val="start"/>
      <w:pPr>
        <w:tabs>
          <w:tab w:val="num" w:pos="3960"/>
        </w:tabs>
        <w:ind w:start="3960" w:hanging="720"/>
      </w:pPr>
      <w:rPr>
        <w:rFonts w:ascii="Symbol" w:hAnsi="Symbol" w:cs="Symbol" w:hint="default"/>
      </w:rPr>
    </w:lvl>
    <w:lvl w:ilvl="8">
      <w:start w:val="1"/>
      <w:numFmt w:val="bullet"/>
      <w:lvlText w:val=""/>
      <w:lvlJc w:val="start"/>
      <w:pPr>
        <w:tabs>
          <w:tab w:val="num" w:pos="4320"/>
        </w:tabs>
        <w:ind w:start="4320" w:hanging="72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b/>
      <w:sz w:val="24"/>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jc w:val="center"/>
      <w:outlineLvl w:val="2"/>
    </w:pPr>
    <w:rPr>
      <w:b/>
      <w:i/>
      <w:sz w:val="22"/>
    </w:rPr>
  </w:style>
  <w:style w:type="paragraph" w:styleId="Heading4">
    <w:name w:val="heading 4"/>
    <w:basedOn w:val="Normal"/>
    <w:next w:val="Normal"/>
    <w:qFormat/>
    <w:pPr>
      <w:keepNext w:val="true"/>
      <w:numPr>
        <w:ilvl w:val="3"/>
        <w:numId w:val="1"/>
      </w:numPr>
      <w:ind w:hanging="0" w:start="0" w:end="-48"/>
      <w:jc w:val="end"/>
      <w:outlineLvl w:val="3"/>
    </w:pPr>
    <w:rPr>
      <w:b/>
    </w:rPr>
  </w:style>
  <w:style w:type="paragraph" w:styleId="Heading5">
    <w:name w:val="heading 5"/>
    <w:basedOn w:val="Normal"/>
    <w:next w:val="Normal"/>
    <w:qFormat/>
    <w:pPr>
      <w:keepNext w:val="true"/>
      <w:numPr>
        <w:ilvl w:val="4"/>
        <w:numId w:val="1"/>
      </w:numPr>
      <w:jc w:val="center"/>
      <w:outlineLvl w:val="4"/>
    </w:pPr>
    <w:rPr>
      <w:b/>
      <w:i/>
      <w:sz w:val="24"/>
    </w:rPr>
  </w:style>
  <w:style w:type="paragraph" w:styleId="Heading6">
    <w:name w:val="heading 6"/>
    <w:basedOn w:val="Normal"/>
    <w:next w:val="Normal"/>
    <w:qFormat/>
    <w:pPr>
      <w:keepNext w:val="true"/>
      <w:numPr>
        <w:ilvl w:val="5"/>
        <w:numId w:val="1"/>
      </w:numPr>
      <w:jc w:val="both"/>
      <w:outlineLvl w:val="5"/>
    </w:pPr>
    <w:rPr>
      <w:b/>
      <w:i/>
      <w:sz w:val="24"/>
      <w:u w:val="single"/>
    </w:rPr>
  </w:style>
  <w:style w:type="paragraph" w:styleId="Heading7">
    <w:name w:val="heading 7"/>
    <w:basedOn w:val="Normal"/>
    <w:next w:val="Normal"/>
    <w:qFormat/>
    <w:pPr>
      <w:keepNext w:val="true"/>
      <w:numPr>
        <w:ilvl w:val="6"/>
        <w:numId w:val="1"/>
      </w:numPr>
      <w:jc w:val="both"/>
      <w:outlineLvl w:val="6"/>
    </w:pPr>
    <w:rPr>
      <w:b/>
      <w:color w:val="000000"/>
      <w:sz w:val="24"/>
      <w:u w:val="single"/>
    </w:rPr>
  </w:style>
  <w:style w:type="paragraph" w:styleId="Heading8">
    <w:name w:val="heading 8"/>
    <w:basedOn w:val="Normal"/>
    <w:next w:val="Normal"/>
    <w:qFormat/>
    <w:pPr>
      <w:keepNext w:val="true"/>
      <w:numPr>
        <w:ilvl w:val="7"/>
        <w:numId w:val="1"/>
      </w:numPr>
      <w:outlineLvl w:val="7"/>
    </w:pPr>
    <w:rPr>
      <w:b/>
      <w:u w:val="single"/>
    </w:rPr>
  </w:style>
  <w:style w:type="paragraph" w:styleId="Heading9">
    <w:name w:val="heading 9"/>
    <w:basedOn w:val="Normal"/>
    <w:next w:val="Normal"/>
    <w:qFormat/>
    <w:pPr>
      <w:keepNext w:val="true"/>
      <w:numPr>
        <w:ilvl w:val="8"/>
        <w:numId w:val="1"/>
      </w:numPr>
      <w:outlineLvl w:val="8"/>
    </w:pPr>
    <w:rPr>
      <w:b/>
      <w:sz w:val="24"/>
      <w:u w:val="single"/>
    </w:rPr>
  </w:style>
  <w:style w:type="character" w:styleId="WW8Num2z0">
    <w:name w:val="WW8Num2z0"/>
    <w:qFormat/>
    <w:rPr>
      <w:rFonts w:ascii="Symbol" w:hAnsi="Symbol" w:cs="Symbol"/>
      <w:sz w:val="22"/>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style>
  <w:style w:type="character" w:styleId="WW8Num20z0">
    <w:name w:val="WW8Num20z0"/>
    <w:qFormat/>
    <w:rPr>
      <w:rFonts w:ascii="Times New Roman" w:hAnsi="Times New Roman" w:cs="Times New Roman"/>
      <w:b w:val="false"/>
      <w:i w:val="false"/>
      <w:caps w:val="false"/>
      <w:smallCaps w:val="false"/>
      <w:strike w:val="false"/>
      <w:dstrike w:val="false"/>
      <w:outline w:val="false"/>
      <w:shadow w:val="false"/>
      <w:vanish w:val="false"/>
      <w:color w:val="808080"/>
      <w:position w:val="0"/>
      <w:sz w:val="24"/>
      <w:sz w:val="24"/>
      <w:vertAlign w:val="baseline"/>
    </w:rPr>
  </w:style>
  <w:style w:type="character" w:styleId="WW8Num20z1">
    <w:name w:val="WW8Num20z1"/>
    <w:qFormat/>
    <w:rPr>
      <w:rFonts w:ascii="Wingdings" w:hAnsi="Wingdings" w:cs="Wingdings"/>
      <w:b w:val="false"/>
      <w:i w:val="false"/>
      <w:sz w:val="24"/>
    </w:rPr>
  </w:style>
  <w:style w:type="character" w:styleId="WW8Num20z2">
    <w:name w:val="WW8Num20z2"/>
    <w:qFormat/>
    <w:rPr>
      <w:rFonts w:ascii="Symbol" w:hAnsi="Symbol" w:cs="Symbol"/>
      <w:b w:val="false"/>
      <w:i w:val="false"/>
      <w:caps w:val="false"/>
      <w:smallCaps w:val="false"/>
      <w:strike w:val="false"/>
      <w:dstrike w:val="false"/>
      <w:outline w:val="false"/>
      <w:shadow w:val="false"/>
      <w:vanish w:val="false"/>
      <w:position w:val="0"/>
      <w:sz w:val="24"/>
      <w:sz w:val="24"/>
      <w:vertAlign w:val="baseline"/>
    </w:rPr>
  </w:style>
  <w:style w:type="character" w:styleId="WW8Num20z3">
    <w:name w:val="WW8Num20z3"/>
    <w:qFormat/>
    <w:rPr>
      <w:rFonts w:ascii="Wingdings" w:hAnsi="Wingdings" w:cs="Wingdings"/>
      <w:b w:val="false"/>
      <w:i w:val="false"/>
      <w:caps w:val="false"/>
      <w:smallCaps w:val="false"/>
      <w:strike w:val="false"/>
      <w:dstrike w:val="false"/>
      <w:outline w:val="false"/>
      <w:shadow w:val="false"/>
      <w:vanish w:val="false"/>
      <w:position w:val="0"/>
      <w:sz w:val="24"/>
      <w:sz w:val="24"/>
      <w:vertAlign w:val="baseline"/>
    </w:rPr>
  </w:style>
  <w:style w:type="character" w:styleId="WW8Num20z4">
    <w:name w:val="WW8Num20z4"/>
    <w:qFormat/>
    <w:rPr>
      <w:rFonts w:ascii="Monotype Sorts" w:hAnsi="Monotype Sorts" w:cs="CommonBullets"/>
      <w:b w:val="false"/>
      <w:i w:val="false"/>
      <w:caps w:val="false"/>
      <w:smallCaps w:val="false"/>
      <w:strike w:val="false"/>
      <w:dstrike w:val="false"/>
      <w:outline w:val="false"/>
      <w:shadow w:val="false"/>
      <w:vanish w:val="false"/>
      <w:color w:val="008000"/>
      <w:position w:val="0"/>
      <w:sz w:val="24"/>
      <w:sz w:val="24"/>
      <w:u w:val="none"/>
      <w:vertAlign w:val="baseline"/>
    </w:rPr>
  </w:style>
  <w:style w:type="character" w:styleId="WW8Num20z5">
    <w:name w:val="WW8Num20z5"/>
    <w:qFormat/>
    <w:rPr>
      <w:rFonts w:ascii="Monotype Sorts" w:hAnsi="Monotype Sorts" w:cs="CommonBullets"/>
      <w:b w:val="false"/>
      <w:i w:val="false"/>
      <w:caps w:val="false"/>
      <w:smallCaps w:val="false"/>
      <w:strike w:val="false"/>
      <w:dstrike w:val="false"/>
      <w:outline w:val="false"/>
      <w:shadow w:val="false"/>
      <w:vanish w:val="false"/>
      <w:color w:val="FF0000"/>
      <w:position w:val="0"/>
      <w:sz w:val="24"/>
      <w:sz w:val="24"/>
      <w:u w:val="none"/>
      <w:vertAlign w:val="baseline"/>
    </w:rPr>
  </w:style>
  <w:style w:type="character" w:styleId="WW8Num20z6">
    <w:name w:val="WW8Num20z6"/>
    <w:qFormat/>
    <w:rPr>
      <w:rFonts w:ascii="Wingdings" w:hAnsi="Wingdings" w:cs="Wingdings"/>
    </w:rPr>
  </w:style>
  <w:style w:type="character" w:styleId="WW8Num20z7">
    <w:name w:val="WW8Num20z7"/>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rFonts w:ascii="Symbol" w:hAnsi="Symbol" w:cs="Symbol"/>
    </w:rPr>
  </w:style>
  <w:style w:type="character" w:styleId="WW8Num29z0">
    <w:name w:val="WW8Num29z0"/>
    <w:qFormat/>
    <w:rPr/>
  </w:style>
  <w:style w:type="character" w:styleId="WW8Num30z0">
    <w:name w:val="WW8Num30z0"/>
    <w:qFormat/>
    <w:rPr>
      <w:rFonts w:ascii="Symbol" w:hAnsi="Symbol" w:cs="Symbol"/>
    </w:rPr>
  </w:style>
  <w:style w:type="character" w:styleId="WW8Num31z0">
    <w:name w:val="WW8Num31z0"/>
    <w:qFormat/>
    <w:rPr/>
  </w:style>
  <w:style w:type="character" w:styleId="WW8Num32z0">
    <w:name w:val="WW8Num32z0"/>
    <w:qFormat/>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style>
  <w:style w:type="character" w:styleId="WW8Num36z0">
    <w:name w:val="WW8Num36z0"/>
    <w:qFormat/>
    <w:rPr/>
  </w:style>
  <w:style w:type="character" w:styleId="WW8Num37z0">
    <w:name w:val="WW8Num37z0"/>
    <w:qFormat/>
    <w:rPr>
      <w:rFonts w:ascii="Wingdings" w:hAnsi="Wingdings" w:cs="Wingdings"/>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u w:val="none"/>
    </w:rPr>
  </w:style>
  <w:style w:type="character" w:styleId="WW8Num41z1">
    <w:name w:val="WW8Num41z1"/>
    <w:qFormat/>
    <w:rPr/>
  </w:style>
  <w:style w:type="character" w:styleId="WW8Num42z0">
    <w:name w:val="WW8Num42z0"/>
    <w:qFormat/>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Wingdings" w:hAnsi="Wingdings" w:cs="Wingdings"/>
    </w:rPr>
  </w:style>
  <w:style w:type="character" w:styleId="WW8Num46z0">
    <w:name w:val="WW8Num46z0"/>
    <w:qFormat/>
    <w:rPr>
      <w:rFonts w:ascii="Symbol" w:hAnsi="Symbol" w:cs="Symbol"/>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style>
  <w:style w:type="character" w:styleId="WW8Num54z0">
    <w:name w:val="WW8Num54z0"/>
    <w:qFormat/>
    <w:rPr>
      <w:rFonts w:ascii="Symbol" w:hAnsi="Symbol" w:cs="Symbol"/>
    </w:rPr>
  </w:style>
  <w:style w:type="character" w:styleId="WW8Num55z0">
    <w:name w:val="WW8Num55z0"/>
    <w:qFormat/>
    <w:rPr>
      <w:rFonts w:ascii="Symbol" w:hAnsi="Symbol" w:cs="Symbol"/>
      <w:sz w:val="22"/>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rFonts w:ascii="Symbol" w:hAnsi="Symbol" w:cs="Symbol"/>
      <w:color w:val="000000"/>
    </w:rPr>
  </w:style>
  <w:style w:type="character" w:styleId="WW8Num60z0">
    <w:name w:val="WW8Num60z0"/>
    <w:qFormat/>
    <w:rPr>
      <w:rFonts w:ascii="Symbol" w:hAnsi="Symbol" w:cs="Symbol"/>
    </w:rPr>
  </w:style>
  <w:style w:type="character" w:styleId="WW8Num61z0">
    <w:name w:val="WW8Num61z0"/>
    <w:qFormat/>
    <w:rPr>
      <w:rFonts w:ascii="Symbol" w:hAnsi="Symbol" w:cs="Symbol"/>
      <w:sz w:val="22"/>
    </w:rPr>
  </w:style>
  <w:style w:type="character" w:styleId="WW8Num62z0">
    <w:name w:val="WW8Num62z0"/>
    <w:qFormat/>
    <w:rPr/>
  </w:style>
  <w:style w:type="character" w:styleId="WW8Num63z0">
    <w:name w:val="WW8Num63z0"/>
    <w:qFormat/>
    <w:rPr>
      <w:rFonts w:ascii="Symbol" w:hAnsi="Symbol" w:cs="Symbol"/>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sz w:val="22"/>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b w:val="false"/>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style>
  <w:style w:type="character" w:styleId="WW8Num85z0">
    <w:name w:val="WW8Num85z0"/>
    <w:qFormat/>
    <w:rPr>
      <w:rFonts w:ascii="Symbol" w:hAnsi="Symbol" w:cs="Symbol"/>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style>
  <w:style w:type="character" w:styleId="WW8Num94z0">
    <w:name w:val="WW8Num94z0"/>
    <w:qFormat/>
    <w:rPr>
      <w:rFonts w:ascii="Symbol" w:hAnsi="Symbol" w:cs="Symbol"/>
    </w:rPr>
  </w:style>
  <w:style w:type="character" w:styleId="WW8Num95z0">
    <w:name w:val="WW8Num95z0"/>
    <w:qFormat/>
    <w:rPr>
      <w:rFonts w:ascii="Symbol" w:hAnsi="Symbol" w:cs="Symbol"/>
    </w:rPr>
  </w:style>
  <w:style w:type="character" w:styleId="WW8Num96z0">
    <w:name w:val="WW8Num96z0"/>
    <w:qFormat/>
    <w:rPr>
      <w:rFonts w:ascii="Symbol" w:hAnsi="Symbol" w:cs="Symbol"/>
    </w:rPr>
  </w:style>
  <w:style w:type="character" w:styleId="WW8Num97z0">
    <w:name w:val="WW8Num97z0"/>
    <w:qFormat/>
    <w:rPr>
      <w:rFonts w:ascii="Symbol" w:hAnsi="Symbol" w:cs="Symbol"/>
      <w:sz w:val="22"/>
    </w:rPr>
  </w:style>
  <w:style w:type="character" w:styleId="WW8Num98z0">
    <w:name w:val="WW8Num98z0"/>
    <w:qFormat/>
    <w:rPr>
      <w:rFonts w:ascii="Symbol" w:hAnsi="Symbol" w:cs="Symbol"/>
      <w:sz w:val="22"/>
    </w:rPr>
  </w:style>
  <w:style w:type="character" w:styleId="WW8Num99z0">
    <w:name w:val="WW8Num99z0"/>
    <w:qFormat/>
    <w:rPr>
      <w:rFonts w:ascii="Symbol" w:hAnsi="Symbol" w:cs="Symbol"/>
    </w:rPr>
  </w:style>
  <w:style w:type="character" w:styleId="WW8Num100z0">
    <w:name w:val="WW8Num100z0"/>
    <w:qFormat/>
    <w:rPr/>
  </w:style>
  <w:style w:type="character" w:styleId="WW8Num101z0">
    <w:name w:val="WW8Num101z0"/>
    <w:qFormat/>
    <w:rPr>
      <w:rFonts w:ascii="Symbol" w:hAnsi="Symbol" w:cs="Symbol"/>
    </w:rPr>
  </w:style>
  <w:style w:type="character" w:styleId="WW8Num102z0">
    <w:name w:val="WW8Num102z0"/>
    <w:qFormat/>
    <w:rPr/>
  </w:style>
  <w:style w:type="character" w:styleId="WW8Num103z0">
    <w:name w:val="WW8Num103z0"/>
    <w:qFormat/>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style>
  <w:style w:type="character" w:styleId="WW8Num108z0">
    <w:name w:val="WW8Num108z0"/>
    <w:qFormat/>
    <w:rPr/>
  </w:style>
  <w:style w:type="character" w:styleId="WW8Num109z0">
    <w:name w:val="WW8Num109z0"/>
    <w:qFormat/>
    <w:rPr/>
  </w:style>
  <w:style w:type="character" w:styleId="WW8Num110z0">
    <w:name w:val="WW8Num110z0"/>
    <w:qFormat/>
    <w:rPr/>
  </w:style>
  <w:style w:type="character" w:styleId="WW8Num111z0">
    <w:name w:val="WW8Num111z0"/>
    <w:qFormat/>
    <w:rPr>
      <w:rFonts w:ascii="Symbol" w:hAnsi="Symbol" w:cs="Symbol"/>
    </w:rPr>
  </w:style>
  <w:style w:type="character" w:styleId="WW8Num112z0">
    <w:name w:val="WW8Num112z0"/>
    <w:qFormat/>
    <w:rPr/>
  </w:style>
  <w:style w:type="character" w:styleId="WW8Num113z0">
    <w:name w:val="WW8Num113z0"/>
    <w:qFormat/>
    <w:rPr>
      <w:rFonts w:ascii="Wingdings" w:hAnsi="Wingdings" w:cs="Wingdings"/>
    </w:rPr>
  </w:style>
  <w:style w:type="character" w:styleId="WW8Num114z0">
    <w:name w:val="WW8Num114z0"/>
    <w:qFormat/>
    <w:rPr/>
  </w:style>
  <w:style w:type="character" w:styleId="WW8Num115z0">
    <w:name w:val="WW8Num115z0"/>
    <w:qFormat/>
    <w:rPr/>
  </w:style>
  <w:style w:type="character" w:styleId="WW8Num116z0">
    <w:name w:val="WW8Num116z0"/>
    <w:qFormat/>
    <w:rPr>
      <w:rFonts w:ascii="Symbol" w:hAnsi="Symbol" w:cs="Symbol"/>
    </w:rPr>
  </w:style>
  <w:style w:type="character" w:styleId="WW8Num117z0">
    <w:name w:val="WW8Num117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BodyText2">
    <w:name w:val="Body Text 2"/>
    <w:basedOn w:val="Normal"/>
    <w:qFormat/>
    <w:pPr>
      <w:jc w:val="both"/>
    </w:pPr>
    <w:rPr>
      <w:sz w:val="24"/>
    </w:rPr>
  </w:style>
  <w:style w:type="paragraph" w:styleId="FootnoteText">
    <w:name w:val="footnote text"/>
    <w:basedOn w:val="Normal"/>
    <w:pPr/>
    <w:rPr/>
  </w:style>
  <w:style w:type="paragraph" w:styleId="Footer">
    <w:name w:val="footer"/>
    <w:basedOn w:val="Normal"/>
    <w:pPr>
      <w:tabs>
        <w:tab w:val="clear" w:pos="720"/>
        <w:tab w:val="center" w:pos="4320" w:leader="none"/>
        <w:tab w:val="right" w:pos="8640" w:leader="none"/>
      </w:tabs>
    </w:pPr>
    <w:rPr>
      <w:sz w:val="24"/>
    </w:rPr>
  </w:style>
  <w:style w:type="paragraph" w:styleId="BodyTextIndent">
    <w:name w:val="Body Text Indent"/>
    <w:basedOn w:val="Normal"/>
    <w:pPr>
      <w:jc w:val="both"/>
    </w:pPr>
    <w:rPr>
      <w:lang w:eastAsia="en-US"/>
    </w:rPr>
  </w:style>
  <w:style w:type="paragraph" w:styleId="Text">
    <w:name w:val="Text"/>
    <w:basedOn w:val="Normal"/>
    <w:qFormat/>
    <w:pPr>
      <w:spacing w:lineRule="atLeast" w:line="160" w:before="160" w:after="0"/>
      <w:ind w:hanging="720" w:start="1440" w:end="0"/>
    </w:pPr>
    <w:rPr>
      <w:rFonts w:ascii="Univers;Arial" w:hAnsi="Univers;Arial" w:cs="Univers;Arial"/>
      <w:sz w:val="24"/>
    </w:rPr>
  </w:style>
  <w:style w:type="paragraph" w:styleId="PitchBullet">
    <w:name w:val="Pitch_Bullet"/>
    <w:basedOn w:val="Normal"/>
    <w:qFormat/>
    <w:pPr>
      <w:numPr>
        <w:ilvl w:val="0"/>
        <w:numId w:val="2"/>
      </w:numPr>
      <w:tabs>
        <w:tab w:val="clear" w:pos="720"/>
        <w:tab w:val="left" w:pos="1080" w:leader="none"/>
      </w:tabs>
      <w:spacing w:before="0" w:after="240"/>
    </w:pPr>
    <w:rPr>
      <w:rFonts w:ascii="Univers;Arial" w:hAnsi="Univers;Arial" w:cs="Univers;Arial"/>
      <w:sz w:val="24"/>
    </w:rPr>
  </w:style>
  <w:style w:type="paragraph" w:styleId="BodyText3">
    <w:name w:val="Body Text 3"/>
    <w:basedOn w:val="Normal"/>
    <w:qFormat/>
    <w:pPr>
      <w:jc w:val="both"/>
    </w:pPr>
    <w:rPr>
      <w:color w:val="000000"/>
      <w:sz w:val="24"/>
      <w:lang w:eastAsia="en-US"/>
    </w:rPr>
  </w:style>
  <w:style w:type="paragraph" w:styleId="PitchPageTitle">
    <w:name w:val="Pitch_PageTitle"/>
    <w:basedOn w:val="Normal"/>
    <w:next w:val="PitchPageByline"/>
    <w:qFormat/>
    <w:pPr>
      <w:pageBreakBefore/>
      <w:pBdr>
        <w:bottom w:val="thinThickSmallGap" w:sz="24" w:space="1" w:color="000000"/>
      </w:pBdr>
      <w:spacing w:before="0" w:after="120"/>
    </w:pPr>
    <w:rPr>
      <w:rFonts w:ascii="Univers;Arial" w:hAnsi="Univers;Arial" w:cs="Univers;Arial"/>
      <w:b/>
      <w:caps/>
      <w:color w:val="800000"/>
      <w:sz w:val="36"/>
    </w:rPr>
  </w:style>
  <w:style w:type="paragraph" w:styleId="PitchPageByline">
    <w:name w:val="Pitch_PageByline"/>
    <w:basedOn w:val="Normal"/>
    <w:next w:val="Normal"/>
    <w:qFormat/>
    <w:pPr>
      <w:spacing w:before="0" w:after="240"/>
    </w:pPr>
    <w:rPr>
      <w:rFonts w:ascii="Univers;Arial" w:hAnsi="Univers;Arial" w:cs="Univers;Arial"/>
      <w:i/>
      <w:sz w:val="2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image" Target="media/image2.wmf"/><Relationship Id="rId5" Type="http://schemas.openxmlformats.org/officeDocument/2006/relationships/header" Target="header2.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wmf"/>
</Relationships>
</file>

<file path=word/_rels/footer2.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2000-07-17T17:47:00Z</dcterms:created>
  <dc:creator>John Hoon Lee</dc:creator>
  <dc:description/>
  <dc:language>en-CA</dc:language>
  <cp:lastModifiedBy>stoyanob</cp:lastModifiedBy>
  <cp:lastPrinted>2000-07-13T19:33:00Z</cp:lastPrinted>
  <dcterms:modified xsi:type="dcterms:W3CDTF">2000-07-24T14:17:00Z</dcterms:modified>
  <cp:revision>3</cp:revision>
  <dc:subject/>
  <dc:title>I</dc:title>
</cp:coreProperties>
</file>