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pPr>
      <w:r>
        <w:rPr/>
      </w:r>
    </w:p>
    <w:tbl>
      <w:tblPr>
        <w:tblW w:w="10708" w:type="dxa"/>
        <w:jc w:val="start"/>
        <w:tblInd w:w="202" w:type="dxa"/>
        <w:tblLayout w:type="fixed"/>
        <w:tblCellMar>
          <w:top w:w="0" w:type="dxa"/>
          <w:start w:w="108" w:type="dxa"/>
          <w:bottom w:w="0" w:type="dxa"/>
          <w:end w:w="108" w:type="dxa"/>
        </w:tblCellMar>
      </w:tblPr>
      <w:tblGrid>
        <w:gridCol w:w="708"/>
        <w:gridCol w:w="6045"/>
        <w:gridCol w:w="990"/>
        <w:gridCol w:w="2965"/>
      </w:tblGrid>
      <w:tr>
        <w:trPr/>
        <w:tc>
          <w:tcPr>
            <w:tcW w:w="708" w:type="dxa"/>
            <w:tcBorders/>
          </w:tcPr>
          <w:p>
            <w:pPr>
              <w:pStyle w:val="Normal"/>
              <w:ind w:start="-180" w:end="0"/>
              <w:jc w:val="end"/>
              <w:rPr>
                <w:sz w:val="16"/>
              </w:rPr>
            </w:pPr>
            <w:r>
              <w:rPr>
                <w:sz w:val="16"/>
              </w:rPr>
              <w:t>To:</w:t>
            </w:r>
          </w:p>
        </w:tc>
        <w:tc>
          <w:tcPr>
            <w:tcW w:w="6045" w:type="dxa"/>
            <w:tcBorders/>
          </w:tcPr>
          <w:p>
            <w:pPr>
              <w:pStyle w:val="To"/>
              <w:rPr/>
            </w:pPr>
            <w:r>
              <w:rPr/>
              <w:t>Mark Taylor</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tcPr>
          <w:p>
            <w:pPr>
              <w:pStyle w:val="Normal"/>
              <w:ind w:start="-180" w:end="0"/>
              <w:jc w:val="end"/>
              <w:rPr>
                <w:sz w:val="18"/>
              </w:rPr>
            </w:pPr>
            <w:r>
              <w:rPr>
                <w:sz w:val="18"/>
              </w:rPr>
              <w:t>c:</w:t>
            </w:r>
          </w:p>
        </w:tc>
        <w:tc>
          <w:tcPr>
            <w:tcW w:w="6045" w:type="dxa"/>
            <w:tcBorders/>
          </w:tcPr>
          <w:p>
            <w:pPr>
              <w:pStyle w:val="Normal"/>
              <w:rPr>
                <w:sz w:val="18"/>
              </w:rPr>
            </w:pPr>
            <w:r>
              <w:rPr>
                <w:sz w:val="18"/>
              </w:rPr>
              <w:t>Chris Gaffney, Bill Bradford and Tana Jones</w:t>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tcPr>
          <w:p>
            <w:pPr>
              <w:pStyle w:val="Normal"/>
              <w:ind w:start="-180" w:end="0"/>
              <w:jc w:val="end"/>
              <w:rPr>
                <w:sz w:val="16"/>
              </w:rPr>
            </w:pPr>
            <w:r>
              <w:rPr>
                <w:sz w:val="16"/>
              </w:rPr>
              <w:t>From:</w:t>
            </w:r>
          </w:p>
        </w:tc>
        <w:tc>
          <w:tcPr>
            <w:tcW w:w="6045" w:type="dxa"/>
            <w:tcBorders/>
          </w:tcPr>
          <w:p>
            <w:pPr>
              <w:pStyle w:val="From"/>
              <w:rPr/>
            </w:pPr>
            <w:r>
              <w:rPr/>
              <w:t>Peter Keohane</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Law</w:t>
            </w:r>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Canadian ISDA Matters – Cash Collateralization</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t>February 3, 1999</w:t>
            </w:r>
          </w:p>
        </w:tc>
      </w:tr>
    </w:tbl>
    <w:p>
      <w:pPr>
        <w:pStyle w:val="Body"/>
        <w:jc w:val="both"/>
        <w:rPr>
          <w:sz w:val="22"/>
        </w:rPr>
      </w:pPr>
      <w:r>
        <w:rPr>
          <w:sz w:val="22"/>
        </w:rPr>
      </w:r>
      <w:bookmarkStart w:id="1" w:name="StartOfMemo"/>
      <w:bookmarkStart w:id="2" w:name="StartOfMemo"/>
      <w:bookmarkEnd w:id="2"/>
    </w:p>
    <w:p>
      <w:pPr>
        <w:pStyle w:val="Body"/>
        <w:jc w:val="both"/>
        <w:rPr>
          <w:sz w:val="22"/>
        </w:rPr>
      </w:pPr>
      <w:r>
        <w:rPr>
          <w:sz w:val="22"/>
        </w:rPr>
        <w:t>I have again reviewed the Stikeman, Elliott memo.</w:t>
      </w:r>
    </w:p>
    <w:p>
      <w:pPr>
        <w:pStyle w:val="Body"/>
        <w:jc w:val="both"/>
        <w:rPr>
          <w:sz w:val="22"/>
        </w:rPr>
      </w:pPr>
      <w:r>
        <w:rPr>
          <w:sz w:val="22"/>
        </w:rPr>
      </w:r>
    </w:p>
    <w:p>
      <w:pPr>
        <w:pStyle w:val="Body"/>
        <w:jc w:val="both"/>
        <w:rPr/>
      </w:pPr>
      <w:r>
        <w:rPr>
          <w:sz w:val="22"/>
        </w:rPr>
        <w:t xml:space="preserve">The issue revolves around the “perfection” of a security interest in “money” or an “account” under the </w:t>
      </w:r>
      <w:r>
        <w:rPr>
          <w:i/>
          <w:sz w:val="22"/>
        </w:rPr>
        <w:t>Personal Property Security Acts</w:t>
      </w:r>
      <w:r>
        <w:rPr>
          <w:sz w:val="22"/>
        </w:rPr>
        <w:t xml:space="preserve"> (“PPSA”) of the various provinces (primarily, for our purposes, Alberta and Ontario) and whether cash held in a collateral account by or on behalf of the secured party constitutes “possession” of “money” or of an “account” for the purposes of “perfection” under the PPSA, or whether “perfection” of the security interest by registration of a financing statement at the Personal Property Registry is required. </w:t>
      </w:r>
    </w:p>
    <w:p>
      <w:pPr>
        <w:pStyle w:val="Body"/>
        <w:jc w:val="both"/>
        <w:rPr>
          <w:sz w:val="22"/>
        </w:rPr>
      </w:pPr>
      <w:r>
        <w:rPr>
          <w:sz w:val="22"/>
        </w:rPr>
      </w:r>
    </w:p>
    <w:p>
      <w:pPr>
        <w:pStyle w:val="Body"/>
        <w:jc w:val="both"/>
        <w:rPr>
          <w:sz w:val="22"/>
        </w:rPr>
      </w:pPr>
      <w:r>
        <w:rPr>
          <w:sz w:val="22"/>
        </w:rPr>
        <w:t xml:space="preserve">Having looked into the matter, I believe that Stikeman’s opinion is the better view and, more importantly, the more conservative view (i.e. the secured party should not rely on “perfection” of a security interest in “money” or an “account” by possession through a collateral account, and if no financing statement was registered, the priority of the security interest would be at risk to the claims of prior secured creditors and/or trustees in bankruptcy).  </w:t>
      </w:r>
    </w:p>
    <w:p>
      <w:pPr>
        <w:pStyle w:val="Body"/>
        <w:jc w:val="both"/>
        <w:rPr>
          <w:sz w:val="22"/>
        </w:rPr>
      </w:pPr>
      <w:r>
        <w:rPr>
          <w:sz w:val="22"/>
        </w:rPr>
      </w:r>
    </w:p>
    <w:p>
      <w:pPr>
        <w:pStyle w:val="Body"/>
        <w:jc w:val="both"/>
        <w:rPr>
          <w:sz w:val="22"/>
        </w:rPr>
      </w:pPr>
      <w:r>
        <w:rPr>
          <w:sz w:val="22"/>
        </w:rPr>
        <w:t xml:space="preserve">Firstly,  an “account” cannot be classified as “money” under the PPSA since “money” conotes cash, and therefore cash held in a collateral account does not constitute possession of “money”.  </w:t>
      </w:r>
    </w:p>
    <w:p>
      <w:pPr>
        <w:pStyle w:val="Body"/>
        <w:jc w:val="both"/>
        <w:rPr>
          <w:sz w:val="22"/>
        </w:rPr>
      </w:pPr>
      <w:r>
        <w:rPr>
          <w:sz w:val="22"/>
        </w:rPr>
      </w:r>
    </w:p>
    <w:p>
      <w:pPr>
        <w:pStyle w:val="Body"/>
        <w:jc w:val="both"/>
        <w:rPr>
          <w:sz w:val="22"/>
        </w:rPr>
      </w:pPr>
      <w:r>
        <w:rPr>
          <w:sz w:val="22"/>
        </w:rPr>
        <w:t>Secondly, an “account” itself is an “intangible” under the PPSA, and perfection of a security interest in an intangible cannot be perfected by possession (because the collateral does not have a physical existence).</w:t>
      </w:r>
    </w:p>
    <w:p>
      <w:pPr>
        <w:pStyle w:val="Body"/>
        <w:jc w:val="both"/>
        <w:rPr>
          <w:sz w:val="22"/>
        </w:rPr>
      </w:pPr>
      <w:r>
        <w:rPr>
          <w:sz w:val="22"/>
        </w:rPr>
      </w:r>
    </w:p>
    <w:p>
      <w:pPr>
        <w:pStyle w:val="Body"/>
        <w:jc w:val="both"/>
        <w:rPr>
          <w:sz w:val="22"/>
        </w:rPr>
      </w:pPr>
      <w:r>
        <w:rPr>
          <w:sz w:val="22"/>
        </w:rPr>
        <w:t>For non-deposit taking institutions (such as us), the risk of non-perfection of cash collateral held in a collateral account of a deposit taking institution also raises complicated issues and other risks in respect of rights of set off which may arise in favour of the deposit taking institution holding the collateral and who may also be owed obligations by the debtor.</w:t>
      </w:r>
    </w:p>
    <w:p>
      <w:pPr>
        <w:pStyle w:val="Body"/>
        <w:jc w:val="both"/>
        <w:rPr>
          <w:sz w:val="22"/>
        </w:rPr>
      </w:pPr>
      <w:r>
        <w:rPr>
          <w:sz w:val="22"/>
        </w:rPr>
      </w:r>
    </w:p>
    <w:p>
      <w:pPr>
        <w:pStyle w:val="Body"/>
        <w:jc w:val="both"/>
        <w:rPr>
          <w:sz w:val="22"/>
        </w:rPr>
      </w:pPr>
      <w:r>
        <w:rPr>
          <w:sz w:val="22"/>
        </w:rPr>
        <w:t>In any event, if “perfection” by possession cannot be assured, “perfection” by registration cannot necessarily be relied upon either, not so much because registration itself is an onerous task, but rather because priority even then cannot be assured (i.e. under the PPSA certain confirming searches must be obtained and certain factual matters must exist before priority can be assured and, on this basis, it is customary for law firms either not to give priority opinions with respect to “perfection” of collateral under the PPSA or to make certain assumptions or qualifications which mean that a priority opinion cannot be relied upon with certainty).</w:t>
      </w:r>
    </w:p>
    <w:p>
      <w:pPr>
        <w:pStyle w:val="Body"/>
        <w:jc w:val="both"/>
        <w:rPr>
          <w:sz w:val="22"/>
        </w:rPr>
      </w:pPr>
      <w:r>
        <w:rPr>
          <w:sz w:val="22"/>
        </w:rPr>
      </w:r>
    </w:p>
    <w:p>
      <w:pPr>
        <w:pStyle w:val="Body"/>
        <w:jc w:val="both"/>
        <w:rPr>
          <w:sz w:val="22"/>
        </w:rPr>
      </w:pPr>
      <w:r>
        <w:rPr>
          <w:sz w:val="22"/>
        </w:rPr>
        <w:t>Accordingly, I believe we should be continuing to follow our current practice of avoiding cash collateral and taking security by letter of credit only.</w:t>
      </w:r>
    </w:p>
    <w:p>
      <w:pPr>
        <w:pStyle w:val="Body"/>
        <w:jc w:val="both"/>
        <w:rPr>
          <w:sz w:val="22"/>
        </w:rPr>
      </w:pPr>
      <w:r>
        <w:rPr>
          <w:sz w:val="22"/>
        </w:rPr>
      </w:r>
    </w:p>
    <w:p>
      <w:pPr>
        <w:pStyle w:val="Body"/>
        <w:jc w:val="both"/>
        <w:rPr>
          <w:sz w:val="22"/>
        </w:rPr>
      </w:pPr>
      <w:r>
        <w:rPr>
          <w:sz w:val="22"/>
        </w:rPr>
        <w:t>If you have any questions or would like to discuss this matter further, please give me a call.</w:t>
      </w:r>
    </w:p>
    <w:p>
      <w:pPr>
        <w:pStyle w:val="Body"/>
        <w:jc w:val="both"/>
        <w:rPr>
          <w:sz w:val="22"/>
        </w:rPr>
      </w:pPr>
      <w:r>
        <w:rPr>
          <w:sz w:val="22"/>
        </w:rPr>
      </w:r>
    </w:p>
    <w:p>
      <w:pPr>
        <w:pStyle w:val="Body"/>
        <w:jc w:val="both"/>
        <w:rPr>
          <w:sz w:val="22"/>
        </w:rPr>
      </w:pPr>
      <w:r>
        <w:rPr>
          <w:sz w:val="22"/>
        </w:rPr>
      </w:r>
    </w:p>
    <w:p>
      <w:pPr>
        <w:pStyle w:val="Body"/>
        <w:jc w:val="both"/>
        <w:rPr>
          <w:sz w:val="22"/>
        </w:rPr>
      </w:pPr>
      <w:r>
        <w:rPr>
          <w:sz w:val="22"/>
        </w:rPr>
        <w:t>Regards, Peter</w:t>
      </w:r>
    </w:p>
    <w:p>
      <w:pPr>
        <w:pStyle w:val="Department"/>
        <w:rPr>
          <w:sz w:val="22"/>
        </w:rPr>
      </w:pPr>
      <w:r>
        <w:rPr>
          <w:sz w:val="22"/>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4320"/>
        <w:tab w:val="left" w:pos="2430" w:leader="none"/>
        <w:tab w:val="left" w:pos="5310" w:leader="none"/>
        <w:tab w:val="right" w:pos="8640" w:leader="none"/>
        <w:tab w:val="right" w:pos="10800" w:leader="none"/>
      </w:tabs>
      <w:rPr>
        <w:b/>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/mnt/main-storage/datasets/enron-docs/doc/taylor.memo.cdn.isda.doc</w:t>
    </w:r>
    <w:r>
      <w:rPr>
        <w:sz w:val="16"/>
        <w:rFonts w:cs="Arial Narrow" w:ascii="Arial Narrow" w:hAnsi="Arial Narrow"/>
      </w:rPr>
      <w:fldChar w:fldCharType="end"/>
    </w:r>
    <w:r>
      <w:rPr>
        <w:rFonts w:cs="Arial Narrow" w:ascii="Arial Narrow" w:hAnsi="Arial Narrow"/>
        <w:sz w:val="16"/>
      </w:rPr>
      <w:tab/>
      <w:tab/>
      <w:tab/>
    </w:r>
    <w:r>
      <w:rPr>
        <w:rFonts w:cs="Arial Narrow" w:ascii="Arial Narrow" w:hAnsi="Arial Narrow"/>
        <w:sz w:val="16"/>
      </w:rPr>
      <w:fldChar w:fldCharType="begin"/>
    </w:r>
    <w:r>
      <w:rPr>
        <w:sz w:val="16"/>
        <w:rFonts w:cs="Arial Narrow" w:ascii="Arial Narrow" w:hAnsi="Arial Narrow"/>
      </w:rPr>
      <w:instrText xml:space="preserve"> DATE \@"MMMM\ d', 'yyyy" </w:instrText>
    </w:r>
    <w:r>
      <w:rPr>
        <w:sz w:val="16"/>
        <w:rFonts w:cs="Arial Narrow" w:ascii="Arial Narrow" w:hAnsi="Arial Narrow"/>
      </w:rPr>
      <w:fldChar w:fldCharType="separate"/>
    </w:r>
    <w:r>
      <w:rPr>
        <w:sz w:val="16"/>
        <w:rFonts w:cs="Arial Narrow" w:ascii="Arial Narrow" w:hAnsi="Arial Narrow"/>
      </w:rPr>
      <w:t>September 28, 2025</w:t>
    </w:r>
    <w:r>
      <w:rPr>
        <w:sz w:val="16"/>
        <w:rFonts w:cs="Arial Narrow" w:ascii="Arial Narrow" w:hAnsi="Arial Narrow"/>
      </w:rPr>
      <w:fldChar w:fldCharType="end"/>
    </w:r>
    <w:r>
      <w:rPr>
        <w:rFonts w:cs="Arial Narrow" w:ascii="Arial Narrow" w:hAnsi="Arial Narrow"/>
        <w:sz w:val="16"/>
      </w:rPr>
      <w:t xml:space="preserve">  </w:t>
    </w:r>
    <w:r>
      <w:rPr>
        <w:rFonts w:cs="Arial Narrow" w:ascii="Arial Narrow" w:hAnsi="Arial Narrow"/>
        <w:sz w:val="16"/>
      </w:rPr>
      <w:fldChar w:fldCharType="begin"/>
    </w:r>
    <w:r>
      <w:rPr>
        <w:sz w:val="16"/>
        <w:rFonts w:cs="Arial Narrow" w:ascii="Arial Narrow" w:hAnsi="Arial Narrow"/>
      </w:rPr>
      <w:instrText xml:space="preserve"> DATE \@"M/d/yyyy" </w:instrText>
    </w:r>
    <w:r>
      <w:rPr>
        <w:sz w:val="16"/>
        <w:rFonts w:cs="Arial Narrow" w:ascii="Arial Narrow" w:hAnsi="Arial Narrow"/>
      </w:rPr>
      <w:fldChar w:fldCharType="separate"/>
    </w:r>
    <w:r>
      <w:rPr>
        <w:sz w:val="16"/>
        <w:rFonts w:cs="Arial Narrow" w:ascii="Arial Narrow" w:hAnsi="Arial Narrow"/>
      </w:rPr>
      <w:t>9/28/2025</w:t>
    </w:r>
    <w:r>
      <w:rPr>
        <w:sz w:val="16"/>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1999-01-25T14:43:00Z</dcterms:created>
  <dc:creator>ncappel</dc:creator>
  <dc:description/>
  <dc:language>en-CA</dc:language>
  <cp:lastModifiedBy>ncappel</cp:lastModifiedBy>
  <cp:lastPrinted>1999-02-03T08:35:00Z</cp:lastPrinted>
  <dcterms:modified xsi:type="dcterms:W3CDTF">1999-04-01T17:43:00Z</dcterms:modified>
  <cp:revision>15</cp:revision>
  <dc:subject/>
  <dc:title>Eron Capital &amp; Trade Resources Memo</dc:title>
</cp:coreProperties>
</file>